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 no tame ni”, “por amor” en Japonés (óleo, esmalte y bordado sobre tela, 70 x 50 cm) surge de un encuentro íntimo con la memoria y el afecto. Inspirada en la muñeca japonesa que mi padre me regaló en vida, la pintura se convierte en un acto de recuerdo y conexión con su presencia, transformando la pérdida en un gesto de ternura y celebración. La muñeca ocupa el plano principal, sostenida sobre una alfombra de flores celestes que recuerda un prado delicado, mientras el fondo se despliega como un jardín japonés lleno de flores, plantas y pájaros, creando un espacio vivo y envolvente.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fondo amarillo ilumina la composición y contrasta con los detalles primarios —la rosa roja a la izquierda y el azul profundo debajo—, que enriquecen la textura visual. Cada pliegue del kimono está bordado en hilo dorado, un gesto que honra la memoria del regalo y aporta un aura de sacralidad a la figura. La muñeca sostiene un pequeño tamborcito, elemento que sugiere juego, ritual y música silenciosa, reforzando la sensación de intimidad y contemplación que recorre la obra.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Muñeca Japonesa</w:t>
      </w:r>
      <w:r w:rsidDel="00000000" w:rsidR="00000000" w:rsidRPr="00000000">
        <w:rPr>
          <w:rtl w:val="0"/>
        </w:rPr>
        <w:t xml:space="preserve"> es, así, un puente entre lo vivido y lo recordado, entre la delicadeza de los objetos y la fuerza del vínculo familiar, una pintura que reza en silencio la memoria de quien ya no está, pero cuya presencia se siente en cada hilo dorado y cada flor que rodea a la muñeca.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