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01E6F" w14:textId="77777777" w:rsidR="001629C4" w:rsidRPr="001629C4" w:rsidRDefault="001629C4" w:rsidP="001629C4">
      <w:pPr>
        <w:spacing w:line="360" w:lineRule="auto"/>
        <w:jc w:val="center"/>
        <w:rPr>
          <w:rFonts w:ascii="Times New Roman" w:hAnsi="Times New Roman" w:cs="Times New Roman"/>
          <w:b/>
          <w:bCs/>
          <w:sz w:val="24"/>
          <w:szCs w:val="24"/>
        </w:rPr>
      </w:pPr>
      <w:r w:rsidRPr="001629C4">
        <w:rPr>
          <w:rFonts w:ascii="Times New Roman" w:hAnsi="Times New Roman" w:cs="Times New Roman"/>
          <w:b/>
          <w:bCs/>
          <w:sz w:val="24"/>
          <w:szCs w:val="24"/>
        </w:rPr>
        <w:t>HEALTHCONNECT RWANDA</w:t>
      </w:r>
    </w:p>
    <w:p w14:paraId="447C4EC2" w14:textId="77777777" w:rsidR="001629C4" w:rsidRPr="001629C4" w:rsidRDefault="001629C4" w:rsidP="001629C4">
      <w:pPr>
        <w:spacing w:line="360" w:lineRule="auto"/>
        <w:jc w:val="center"/>
        <w:rPr>
          <w:rFonts w:ascii="Times New Roman" w:hAnsi="Times New Roman" w:cs="Times New Roman"/>
          <w:b/>
          <w:bCs/>
          <w:sz w:val="24"/>
          <w:szCs w:val="24"/>
        </w:rPr>
      </w:pPr>
      <w:r w:rsidRPr="001629C4">
        <w:rPr>
          <w:rFonts w:ascii="Times New Roman" w:hAnsi="Times New Roman" w:cs="Times New Roman"/>
          <w:b/>
          <w:bCs/>
          <w:sz w:val="24"/>
          <w:szCs w:val="24"/>
        </w:rPr>
        <w:t>Business Insights Report</w:t>
      </w:r>
    </w:p>
    <w:p w14:paraId="6FE6386C" w14:textId="77777777" w:rsidR="001629C4" w:rsidRDefault="001629C4" w:rsidP="001629C4">
      <w:pPr>
        <w:spacing w:line="360" w:lineRule="auto"/>
        <w:jc w:val="center"/>
        <w:rPr>
          <w:rFonts w:ascii="Times New Roman" w:hAnsi="Times New Roman" w:cs="Times New Roman"/>
          <w:b/>
          <w:bCs/>
          <w:i/>
          <w:iCs/>
          <w:sz w:val="24"/>
          <w:szCs w:val="24"/>
        </w:rPr>
      </w:pPr>
      <w:r w:rsidRPr="001629C4">
        <w:rPr>
          <w:rFonts w:ascii="Times New Roman" w:hAnsi="Times New Roman" w:cs="Times New Roman"/>
          <w:b/>
          <w:bCs/>
          <w:i/>
          <w:iCs/>
          <w:sz w:val="24"/>
          <w:szCs w:val="24"/>
        </w:rPr>
        <w:t>Healthcare Operations and Performance Analytics Dashboard</w:t>
      </w:r>
    </w:p>
    <w:p w14:paraId="69C19BC8" w14:textId="77777777" w:rsidR="001629C4" w:rsidRPr="001629C4" w:rsidRDefault="001629C4" w:rsidP="001629C4">
      <w:pPr>
        <w:spacing w:line="360" w:lineRule="auto"/>
        <w:jc w:val="center"/>
        <w:rPr>
          <w:rFonts w:ascii="Times New Roman" w:hAnsi="Times New Roman" w:cs="Times New Roman"/>
          <w:b/>
          <w:bCs/>
          <w:sz w:val="24"/>
          <w:szCs w:val="24"/>
        </w:rPr>
      </w:pPr>
    </w:p>
    <w:p w14:paraId="6E0F802B" w14:textId="77777777" w:rsidR="001629C4" w:rsidRPr="001629C4" w:rsidRDefault="001629C4" w:rsidP="001629C4">
      <w:pPr>
        <w:spacing w:line="360" w:lineRule="auto"/>
        <w:rPr>
          <w:rFonts w:ascii="Times New Roman" w:hAnsi="Times New Roman" w:cs="Times New Roman"/>
          <w:b/>
          <w:bCs/>
          <w:sz w:val="24"/>
          <w:szCs w:val="24"/>
        </w:rPr>
      </w:pPr>
      <w:r w:rsidRPr="001629C4">
        <w:rPr>
          <w:rFonts w:ascii="Times New Roman" w:hAnsi="Times New Roman" w:cs="Times New Roman"/>
          <w:b/>
          <w:bCs/>
          <w:sz w:val="24"/>
          <w:szCs w:val="24"/>
        </w:rPr>
        <w:t>1. Introduction</w:t>
      </w:r>
    </w:p>
    <w:p w14:paraId="63B4D20D"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 xml:space="preserve">This report presents the key findings from the Healthcare Operations and Performance Analytics Dashboard developed for </w:t>
      </w:r>
      <w:proofErr w:type="spellStart"/>
      <w:r w:rsidRPr="001629C4">
        <w:rPr>
          <w:rFonts w:ascii="Times New Roman" w:hAnsi="Times New Roman" w:cs="Times New Roman"/>
          <w:sz w:val="24"/>
          <w:szCs w:val="24"/>
        </w:rPr>
        <w:t>HealthConnect</w:t>
      </w:r>
      <w:proofErr w:type="spellEnd"/>
      <w:r w:rsidRPr="001629C4">
        <w:rPr>
          <w:rFonts w:ascii="Times New Roman" w:hAnsi="Times New Roman" w:cs="Times New Roman"/>
          <w:sz w:val="24"/>
          <w:szCs w:val="24"/>
        </w:rPr>
        <w:t xml:space="preserve"> Rwanda. The project uses Power BI to bring together healthcare information and provide management with a clearer view of patient activity, clinical diagnoses, financial performance, facility operations and patient experience.</w:t>
      </w:r>
    </w:p>
    <w:p w14:paraId="2AEB343C"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 xml:space="preserve">The dashboard is </w:t>
      </w:r>
      <w:proofErr w:type="spellStart"/>
      <w:r w:rsidRPr="001629C4">
        <w:rPr>
          <w:rFonts w:ascii="Times New Roman" w:hAnsi="Times New Roman" w:cs="Times New Roman"/>
          <w:sz w:val="24"/>
          <w:szCs w:val="24"/>
        </w:rPr>
        <w:t>organised</w:t>
      </w:r>
      <w:proofErr w:type="spellEnd"/>
      <w:r w:rsidRPr="001629C4">
        <w:rPr>
          <w:rFonts w:ascii="Times New Roman" w:hAnsi="Times New Roman" w:cs="Times New Roman"/>
          <w:sz w:val="24"/>
          <w:szCs w:val="24"/>
        </w:rPr>
        <w:t xml:space="preserve"> into six pages: Executive Dashboard, Patient Analytics, Clinical Analytics, Financial Dashboard, Operational Dashboard and Patient Experience Dashboard. Together, these views provide a summary of the available healthcare data and highlight areas that can inform service planning and management decisions.</w:t>
      </w:r>
    </w:p>
    <w:p w14:paraId="1C3FB0C6" w14:textId="77777777" w:rsidR="001629C4" w:rsidRPr="001629C4" w:rsidRDefault="001629C4" w:rsidP="001629C4">
      <w:pPr>
        <w:spacing w:line="360" w:lineRule="auto"/>
        <w:rPr>
          <w:rFonts w:ascii="Times New Roman" w:hAnsi="Times New Roman" w:cs="Times New Roman"/>
          <w:b/>
          <w:bCs/>
          <w:sz w:val="24"/>
          <w:szCs w:val="24"/>
        </w:rPr>
      </w:pPr>
      <w:r w:rsidRPr="001629C4">
        <w:rPr>
          <w:rFonts w:ascii="Times New Roman" w:hAnsi="Times New Roman" w:cs="Times New Roman"/>
          <w:b/>
          <w:bCs/>
          <w:sz w:val="24"/>
          <w:szCs w:val="24"/>
        </w:rPr>
        <w:t>2. Data and Methodology</w:t>
      </w:r>
    </w:p>
    <w:p w14:paraId="526D60A3"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The dashboard was developed in Power BI using the healthcare tables imported from PostgreSQL. The available data includes patients, appointments, diagnoses, doctors, departments, beds, medical equipment, laboratory scientists, pharmacists, billing, payments, insurance claims, patient feedback and revenue summary, alongside geographic and facility-related tables. SQL analysis was also completed as part of the project.</w:t>
      </w:r>
    </w:p>
    <w:p w14:paraId="49213CB5"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 xml:space="preserve">The analysis uses KPI cards and </w:t>
      </w:r>
      <w:proofErr w:type="spellStart"/>
      <w:r w:rsidRPr="001629C4">
        <w:rPr>
          <w:rFonts w:ascii="Times New Roman" w:hAnsi="Times New Roman" w:cs="Times New Roman"/>
          <w:sz w:val="24"/>
          <w:szCs w:val="24"/>
        </w:rPr>
        <w:t>visualisations</w:t>
      </w:r>
      <w:proofErr w:type="spellEnd"/>
      <w:r w:rsidRPr="001629C4">
        <w:rPr>
          <w:rFonts w:ascii="Times New Roman" w:hAnsi="Times New Roman" w:cs="Times New Roman"/>
          <w:sz w:val="24"/>
          <w:szCs w:val="24"/>
        </w:rPr>
        <w:t xml:space="preserve"> including bar charts, column charts, a donut chart and a monthly revenue trend. Measures </w:t>
      </w:r>
      <w:proofErr w:type="spellStart"/>
      <w:r w:rsidRPr="001629C4">
        <w:rPr>
          <w:rFonts w:ascii="Times New Roman" w:hAnsi="Times New Roman" w:cs="Times New Roman"/>
          <w:sz w:val="24"/>
          <w:szCs w:val="24"/>
        </w:rPr>
        <w:t>summarise</w:t>
      </w:r>
      <w:proofErr w:type="spellEnd"/>
      <w:r w:rsidRPr="001629C4">
        <w:rPr>
          <w:rFonts w:ascii="Times New Roman" w:hAnsi="Times New Roman" w:cs="Times New Roman"/>
          <w:sz w:val="24"/>
          <w:szCs w:val="24"/>
        </w:rPr>
        <w:t xml:space="preserve"> patient and appointment counts, revenue, doctors, facilities and patient ratings. Comparisons are presented by gender, age group, province, chronic condition, facility, department, payment method, insurance provider and feedback rating.</w:t>
      </w:r>
    </w:p>
    <w:p w14:paraId="1B22D063"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 xml:space="preserve">The imported tables include staff and inventory information for some clinical services, but do not include separate transaction records for laboratory tests, prescriptions, admissions or referrals. The clinical findings therefore focus on diagnosis records, while the other dashboard pages </w:t>
      </w:r>
      <w:proofErr w:type="spellStart"/>
      <w:r w:rsidRPr="001629C4">
        <w:rPr>
          <w:rFonts w:ascii="Times New Roman" w:hAnsi="Times New Roman" w:cs="Times New Roman"/>
          <w:sz w:val="24"/>
          <w:szCs w:val="24"/>
        </w:rPr>
        <w:t>analyse</w:t>
      </w:r>
      <w:proofErr w:type="spellEnd"/>
      <w:r w:rsidRPr="001629C4">
        <w:rPr>
          <w:rFonts w:ascii="Times New Roman" w:hAnsi="Times New Roman" w:cs="Times New Roman"/>
          <w:sz w:val="24"/>
          <w:szCs w:val="24"/>
        </w:rPr>
        <w:t xml:space="preserve"> the fields available in the imported data.</w:t>
      </w:r>
    </w:p>
    <w:p w14:paraId="21A11745" w14:textId="77777777" w:rsidR="001629C4" w:rsidRPr="001629C4" w:rsidRDefault="001629C4" w:rsidP="001629C4">
      <w:pPr>
        <w:spacing w:line="360" w:lineRule="auto"/>
        <w:rPr>
          <w:rFonts w:ascii="Times New Roman" w:hAnsi="Times New Roman" w:cs="Times New Roman"/>
          <w:b/>
          <w:bCs/>
          <w:sz w:val="24"/>
          <w:szCs w:val="24"/>
        </w:rPr>
      </w:pPr>
      <w:r w:rsidRPr="001629C4">
        <w:rPr>
          <w:rFonts w:ascii="Times New Roman" w:hAnsi="Times New Roman" w:cs="Times New Roman"/>
          <w:b/>
          <w:bCs/>
          <w:sz w:val="24"/>
          <w:szCs w:val="24"/>
        </w:rPr>
        <w:t>3. Key Findings</w:t>
      </w:r>
    </w:p>
    <w:p w14:paraId="3C067979" w14:textId="77777777" w:rsidR="001629C4" w:rsidRPr="001629C4" w:rsidRDefault="001629C4" w:rsidP="001629C4">
      <w:pPr>
        <w:spacing w:line="360" w:lineRule="auto"/>
        <w:rPr>
          <w:rFonts w:ascii="Times New Roman" w:hAnsi="Times New Roman" w:cs="Times New Roman"/>
          <w:b/>
          <w:bCs/>
          <w:sz w:val="24"/>
          <w:szCs w:val="24"/>
        </w:rPr>
      </w:pPr>
      <w:r w:rsidRPr="001629C4">
        <w:rPr>
          <w:rFonts w:ascii="Times New Roman" w:hAnsi="Times New Roman" w:cs="Times New Roman"/>
          <w:b/>
          <w:bCs/>
          <w:sz w:val="24"/>
          <w:szCs w:val="24"/>
        </w:rPr>
        <w:t>3.1 Executive overview</w:t>
      </w:r>
    </w:p>
    <w:p w14:paraId="5F6EF4C4"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lastRenderedPageBreak/>
        <w:t xml:space="preserve">The Executive Dashboard reports approximately 20,000 registered patients and 5,000 appointments. The total revenue displayed is 1,132,677,500 (the currency is not identified in the exported dashboard), alongside 350 doctors, 20 facilities and an average patient satisfaction rating of 2.99. These figures </w:t>
      </w:r>
      <w:proofErr w:type="spellStart"/>
      <w:r w:rsidRPr="001629C4">
        <w:rPr>
          <w:rFonts w:ascii="Times New Roman" w:hAnsi="Times New Roman" w:cs="Times New Roman"/>
          <w:sz w:val="24"/>
          <w:szCs w:val="24"/>
        </w:rPr>
        <w:t>summarise</w:t>
      </w:r>
      <w:proofErr w:type="spellEnd"/>
      <w:r w:rsidRPr="001629C4">
        <w:rPr>
          <w:rFonts w:ascii="Times New Roman" w:hAnsi="Times New Roman" w:cs="Times New Roman"/>
          <w:sz w:val="24"/>
          <w:szCs w:val="24"/>
        </w:rPr>
        <w:t xml:space="preserve"> the scale of the records represented in the dashboard.</w:t>
      </w:r>
    </w:p>
    <w:p w14:paraId="3EB0ECED"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 xml:space="preserve">The average satisfaction rating is close to 3 on the displayed 1–5 scale. This indicates that the overall rating sits near the midpoint of the scale, while the rating distribution provides additional </w:t>
      </w:r>
      <w:proofErr w:type="gramStart"/>
      <w:r w:rsidRPr="001629C4">
        <w:rPr>
          <w:rFonts w:ascii="Times New Roman" w:hAnsi="Times New Roman" w:cs="Times New Roman"/>
          <w:sz w:val="24"/>
          <w:szCs w:val="24"/>
        </w:rPr>
        <w:t>detail</w:t>
      </w:r>
      <w:proofErr w:type="gramEnd"/>
      <w:r w:rsidRPr="001629C4">
        <w:rPr>
          <w:rFonts w:ascii="Times New Roman" w:hAnsi="Times New Roman" w:cs="Times New Roman"/>
          <w:sz w:val="24"/>
          <w:szCs w:val="24"/>
        </w:rPr>
        <w:t xml:space="preserve"> about individual responses.</w:t>
      </w:r>
    </w:p>
    <w:p w14:paraId="247E2541" w14:textId="77777777" w:rsidR="001629C4" w:rsidRPr="001629C4" w:rsidRDefault="001629C4" w:rsidP="001629C4">
      <w:pPr>
        <w:spacing w:line="360" w:lineRule="auto"/>
        <w:rPr>
          <w:rFonts w:ascii="Times New Roman" w:hAnsi="Times New Roman" w:cs="Times New Roman"/>
          <w:b/>
          <w:bCs/>
          <w:sz w:val="24"/>
          <w:szCs w:val="24"/>
        </w:rPr>
      </w:pPr>
      <w:r w:rsidRPr="001629C4">
        <w:rPr>
          <w:rFonts w:ascii="Times New Roman" w:hAnsi="Times New Roman" w:cs="Times New Roman"/>
          <w:b/>
          <w:bCs/>
          <w:sz w:val="24"/>
          <w:szCs w:val="24"/>
        </w:rPr>
        <w:t>3.2 Patient analytics</w:t>
      </w:r>
    </w:p>
    <w:p w14:paraId="1667EA56"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The gender chart shows a nearly even distribution, with approximately 50.45% and 49.55% across the two categories. The age distribution chart groups patients into Under 18, 18–29, 30–44, 45–59 and 60+ bands. In the displayed visual, the 60+ group has the largest bar.</w:t>
      </w:r>
    </w:p>
    <w:p w14:paraId="2B958FCE"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The province chart presents patient counts across Western, Eastern, Southern, Kigali City and Northern provinces. The chronic-condition chart includes asthma, hypertension and diabetes. These views show how the registered patient records are distributed across demographic, geographic and chronic-condition categories.</w:t>
      </w:r>
    </w:p>
    <w:p w14:paraId="23BA8BE8"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The insurance chart displays patient records by insurance ID. It describes the distribution across the IDs present in the dataset rather than a direct comparison of insured and uninsured patients.</w:t>
      </w:r>
    </w:p>
    <w:p w14:paraId="4696145B" w14:textId="77777777" w:rsidR="001629C4" w:rsidRPr="001629C4" w:rsidRDefault="001629C4" w:rsidP="001629C4">
      <w:pPr>
        <w:spacing w:line="360" w:lineRule="auto"/>
        <w:rPr>
          <w:rFonts w:ascii="Times New Roman" w:hAnsi="Times New Roman" w:cs="Times New Roman"/>
          <w:b/>
          <w:bCs/>
          <w:sz w:val="24"/>
          <w:szCs w:val="24"/>
        </w:rPr>
      </w:pPr>
      <w:r w:rsidRPr="001629C4">
        <w:rPr>
          <w:rFonts w:ascii="Times New Roman" w:hAnsi="Times New Roman" w:cs="Times New Roman"/>
          <w:b/>
          <w:bCs/>
          <w:sz w:val="24"/>
          <w:szCs w:val="24"/>
        </w:rPr>
        <w:t>3.3 Clinical analytics</w:t>
      </w:r>
    </w:p>
    <w:p w14:paraId="0697AF12"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 xml:space="preserve">The Diagnosis Analysis chart </w:t>
      </w:r>
      <w:proofErr w:type="gramStart"/>
      <w:r w:rsidRPr="001629C4">
        <w:rPr>
          <w:rFonts w:ascii="Times New Roman" w:hAnsi="Times New Roman" w:cs="Times New Roman"/>
          <w:sz w:val="24"/>
          <w:szCs w:val="24"/>
        </w:rPr>
        <w:t>displays counts for</w:t>
      </w:r>
      <w:proofErr w:type="gramEnd"/>
      <w:r w:rsidRPr="001629C4">
        <w:rPr>
          <w:rFonts w:ascii="Times New Roman" w:hAnsi="Times New Roman" w:cs="Times New Roman"/>
          <w:sz w:val="24"/>
          <w:szCs w:val="24"/>
        </w:rPr>
        <w:t xml:space="preserve"> gastritis, diabetes, hypertension, malaria and upper respiratory infection. These are the diagnosis categories shown in the current visual and provide an overview of recorded diagnosis frequency. Separate transaction-level records for laboratory tests, prescriptions, admissions and referrals were not present among the imported tables used for this dashboard, so those activities are not quantified in the current analysis.</w:t>
      </w:r>
    </w:p>
    <w:p w14:paraId="0423E803" w14:textId="77777777" w:rsidR="001629C4" w:rsidRPr="001629C4" w:rsidRDefault="001629C4" w:rsidP="001629C4">
      <w:pPr>
        <w:spacing w:line="360" w:lineRule="auto"/>
        <w:rPr>
          <w:rFonts w:ascii="Times New Roman" w:hAnsi="Times New Roman" w:cs="Times New Roman"/>
          <w:b/>
          <w:bCs/>
          <w:sz w:val="24"/>
          <w:szCs w:val="24"/>
        </w:rPr>
      </w:pPr>
      <w:r w:rsidRPr="001629C4">
        <w:rPr>
          <w:rFonts w:ascii="Times New Roman" w:hAnsi="Times New Roman" w:cs="Times New Roman"/>
          <w:b/>
          <w:bCs/>
          <w:sz w:val="24"/>
          <w:szCs w:val="24"/>
        </w:rPr>
        <w:t>3.4 Financial dashboard</w:t>
      </w:r>
    </w:p>
    <w:p w14:paraId="70885D7B"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 xml:space="preserve">The monthly Revenue Trend visual declines </w:t>
      </w:r>
      <w:proofErr w:type="gramStart"/>
      <w:r w:rsidRPr="001629C4">
        <w:rPr>
          <w:rFonts w:ascii="Times New Roman" w:hAnsi="Times New Roman" w:cs="Times New Roman"/>
          <w:sz w:val="24"/>
          <w:szCs w:val="24"/>
        </w:rPr>
        <w:t>across</w:t>
      </w:r>
      <w:proofErr w:type="gramEnd"/>
      <w:r w:rsidRPr="001629C4">
        <w:rPr>
          <w:rFonts w:ascii="Times New Roman" w:hAnsi="Times New Roman" w:cs="Times New Roman"/>
          <w:sz w:val="24"/>
          <w:szCs w:val="24"/>
        </w:rPr>
        <w:t xml:space="preserve"> the months displayed. The trend should be verified against the underlying monthly revenue data and date sorting before conclusions are drawn. This is an important pattern for management to review alongside monthly service activity and billing records. The dashboard also compares billed amounts by facility and department. The department chart has been updated to use department names rather than department IDs, improving readability. Facility comparisons still use facility IDs because a descriptive facility-name field was not available in the </w:t>
      </w:r>
      <w:r w:rsidRPr="001629C4">
        <w:rPr>
          <w:rFonts w:ascii="Times New Roman" w:hAnsi="Times New Roman" w:cs="Times New Roman"/>
          <w:sz w:val="24"/>
          <w:szCs w:val="24"/>
        </w:rPr>
        <w:lastRenderedPageBreak/>
        <w:t>inspected data. These visuals make it possible to see differences in the financial totals associated with the displayed facility and department IDs.</w:t>
      </w:r>
    </w:p>
    <w:p w14:paraId="3A771FD6"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The Payment Methods chart shows approximately 60,000 payment records distributed across Card, Mobile Money, Insurance and Cash, with each category representing roughly one quarter of the total. The Insurance Claims chart compares claim counts for Radiant, RSSB, Private and MMI; the displayed bars are similar in height.</w:t>
      </w:r>
    </w:p>
    <w:p w14:paraId="070D1ACE" w14:textId="77777777" w:rsidR="001629C4" w:rsidRPr="001629C4" w:rsidRDefault="001629C4" w:rsidP="001629C4">
      <w:pPr>
        <w:spacing w:line="360" w:lineRule="auto"/>
        <w:rPr>
          <w:rFonts w:ascii="Times New Roman" w:hAnsi="Times New Roman" w:cs="Times New Roman"/>
          <w:b/>
          <w:bCs/>
          <w:sz w:val="24"/>
          <w:szCs w:val="24"/>
        </w:rPr>
      </w:pPr>
      <w:r w:rsidRPr="001629C4">
        <w:rPr>
          <w:rFonts w:ascii="Times New Roman" w:hAnsi="Times New Roman" w:cs="Times New Roman"/>
          <w:b/>
          <w:bCs/>
          <w:sz w:val="24"/>
          <w:szCs w:val="24"/>
        </w:rPr>
        <w:t>3.5 Operational dashboard</w:t>
      </w:r>
    </w:p>
    <w:p w14:paraId="1CC9FDF2"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 xml:space="preserve">The staff distribution visual compares staff counts by department and role, with the displayed role being Doctor. The bed-status chart shows the beds recorded as Available, representing 100% of the </w:t>
      </w:r>
      <w:proofErr w:type="gramStart"/>
      <w:r w:rsidRPr="001629C4">
        <w:rPr>
          <w:rFonts w:ascii="Times New Roman" w:hAnsi="Times New Roman" w:cs="Times New Roman"/>
          <w:sz w:val="24"/>
          <w:szCs w:val="24"/>
        </w:rPr>
        <w:t>displayed bed records</w:t>
      </w:r>
      <w:proofErr w:type="gramEnd"/>
      <w:r w:rsidRPr="001629C4">
        <w:rPr>
          <w:rFonts w:ascii="Times New Roman" w:hAnsi="Times New Roman" w:cs="Times New Roman"/>
          <w:sz w:val="24"/>
          <w:szCs w:val="24"/>
        </w:rPr>
        <w:t>. This should not be interpreted as 100% hospital-wide bed availability until the source data is checked for other bed statuses. The equipment chart compares equipment records across facility IDs, while the facility and department comparison charts show appointment counts across the IDs displayed.</w:t>
      </w:r>
    </w:p>
    <w:p w14:paraId="0C1FEDBB"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These visuals provide a snapshot of recorded staff, bed inventory, equipment inventory and appointment activity. The equipment visual represents the number of equipment records by facility rather than equipment usage, because no equipment status or usage field was available in the inspected table.</w:t>
      </w:r>
    </w:p>
    <w:p w14:paraId="3FEFD6FB" w14:textId="77777777" w:rsidR="001629C4" w:rsidRPr="001629C4" w:rsidRDefault="001629C4" w:rsidP="001629C4">
      <w:pPr>
        <w:spacing w:line="360" w:lineRule="auto"/>
        <w:rPr>
          <w:rFonts w:ascii="Times New Roman" w:hAnsi="Times New Roman" w:cs="Times New Roman"/>
          <w:b/>
          <w:bCs/>
          <w:sz w:val="24"/>
          <w:szCs w:val="24"/>
        </w:rPr>
      </w:pPr>
      <w:r w:rsidRPr="001629C4">
        <w:rPr>
          <w:rFonts w:ascii="Times New Roman" w:hAnsi="Times New Roman" w:cs="Times New Roman"/>
          <w:b/>
          <w:bCs/>
          <w:sz w:val="24"/>
          <w:szCs w:val="24"/>
        </w:rPr>
        <w:t>3.6 Patient experience</w:t>
      </w:r>
    </w:p>
    <w:p w14:paraId="6F172FED"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The Satisfaction Ratings chart displays counts for rating values from 1 to 5. The Patient Feedback Analysis visual groups feedback into Good, Poor, Excellent and Average categories. The Hospital Ranking and Department Ranking visuals compare average patient ratings by facility ID and department ID.</w:t>
      </w:r>
    </w:p>
    <w:p w14:paraId="679681A5"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 xml:space="preserve">The hospital-ranking chart includes a blank facility category. The feedback table contains appointment ID, comment, feedback ID and rating, but no visible date field. As a result, the dashboard </w:t>
      </w:r>
      <w:proofErr w:type="spellStart"/>
      <w:r w:rsidRPr="001629C4">
        <w:rPr>
          <w:rFonts w:ascii="Times New Roman" w:hAnsi="Times New Roman" w:cs="Times New Roman"/>
          <w:sz w:val="24"/>
          <w:szCs w:val="24"/>
        </w:rPr>
        <w:t>summarises</w:t>
      </w:r>
      <w:proofErr w:type="spellEnd"/>
      <w:r w:rsidRPr="001629C4">
        <w:rPr>
          <w:rFonts w:ascii="Times New Roman" w:hAnsi="Times New Roman" w:cs="Times New Roman"/>
          <w:sz w:val="24"/>
          <w:szCs w:val="24"/>
        </w:rPr>
        <w:t xml:space="preserve"> feedback categories and ratings rather than showing complaint trends over time.</w:t>
      </w:r>
    </w:p>
    <w:p w14:paraId="13F87C2C" w14:textId="77777777" w:rsidR="001629C4" w:rsidRPr="001629C4" w:rsidRDefault="001629C4" w:rsidP="001629C4">
      <w:pPr>
        <w:spacing w:line="360" w:lineRule="auto"/>
        <w:rPr>
          <w:rFonts w:ascii="Times New Roman" w:hAnsi="Times New Roman" w:cs="Times New Roman"/>
          <w:b/>
          <w:bCs/>
          <w:sz w:val="24"/>
          <w:szCs w:val="24"/>
        </w:rPr>
      </w:pPr>
      <w:r w:rsidRPr="001629C4">
        <w:rPr>
          <w:rFonts w:ascii="Times New Roman" w:hAnsi="Times New Roman" w:cs="Times New Roman"/>
          <w:b/>
          <w:bCs/>
          <w:sz w:val="24"/>
          <w:szCs w:val="24"/>
        </w:rPr>
        <w:t>4. Business Recommendations</w:t>
      </w:r>
    </w:p>
    <w:p w14:paraId="3EC066AC"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Focus on patient experience. Use the satisfaction distribution and average rating of 2.99 as a starting point for reviewing patient feedback and identifying facilities or departments where ratings are lower.</w:t>
      </w:r>
    </w:p>
    <w:p w14:paraId="762FA148"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Investigate the revenue decline. Verify the monthly revenue figures and date order, then review the pattern alongside appointment volumes and billing activity to understand where the decline occurs. The dashboard alone does not establish the cause.</w:t>
      </w:r>
    </w:p>
    <w:p w14:paraId="1C4B4E54"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lastRenderedPageBreak/>
        <w:t xml:space="preserve">Use patient and chronic-condition patterns in service planning. Consider the </w:t>
      </w:r>
      <w:proofErr w:type="gramStart"/>
      <w:r w:rsidRPr="001629C4">
        <w:rPr>
          <w:rFonts w:ascii="Times New Roman" w:hAnsi="Times New Roman" w:cs="Times New Roman"/>
          <w:sz w:val="24"/>
          <w:szCs w:val="24"/>
        </w:rPr>
        <w:t>age-group</w:t>
      </w:r>
      <w:proofErr w:type="gramEnd"/>
      <w:r w:rsidRPr="001629C4">
        <w:rPr>
          <w:rFonts w:ascii="Times New Roman" w:hAnsi="Times New Roman" w:cs="Times New Roman"/>
          <w:sz w:val="24"/>
          <w:szCs w:val="24"/>
        </w:rPr>
        <w:t>, province and chronic-condition charts when reviewing service demand and the distribution of healthcare resources.</w:t>
      </w:r>
    </w:p>
    <w:p w14:paraId="1008BA12"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Compare facility and department activity. Use the appointment and billed-amount comparisons to identify areas with relatively high activity or financial totals and explore whether resources are aligned with demand.</w:t>
      </w:r>
    </w:p>
    <w:p w14:paraId="39D6F7F1"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Improve the clinical data available for reporting. Add transaction-level laboratory test, prescription, admission and referral data to enable fuller reporting of clinical service volumes and patient pathways.</w:t>
      </w:r>
    </w:p>
    <w:p w14:paraId="06F2A342"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 xml:space="preserve">Strengthen facility and equipment reporting. Use descriptive department names where available; facility charts currently retain facility IDs because no facility-name field was available in the inspected data. Include equipment usage or status information if operational </w:t>
      </w:r>
      <w:proofErr w:type="spellStart"/>
      <w:r w:rsidRPr="001629C4">
        <w:rPr>
          <w:rFonts w:ascii="Times New Roman" w:hAnsi="Times New Roman" w:cs="Times New Roman"/>
          <w:sz w:val="24"/>
          <w:szCs w:val="24"/>
        </w:rPr>
        <w:t>utilisation</w:t>
      </w:r>
      <w:proofErr w:type="spellEnd"/>
      <w:r w:rsidRPr="001629C4">
        <w:rPr>
          <w:rFonts w:ascii="Times New Roman" w:hAnsi="Times New Roman" w:cs="Times New Roman"/>
          <w:sz w:val="24"/>
          <w:szCs w:val="24"/>
        </w:rPr>
        <w:t xml:space="preserve"> is to be measured.</w:t>
      </w:r>
    </w:p>
    <w:p w14:paraId="256DD220" w14:textId="77777777" w:rsidR="001629C4" w:rsidRPr="001629C4" w:rsidRDefault="001629C4" w:rsidP="001629C4">
      <w:pPr>
        <w:spacing w:line="360" w:lineRule="auto"/>
        <w:rPr>
          <w:rFonts w:ascii="Times New Roman" w:hAnsi="Times New Roman" w:cs="Times New Roman"/>
          <w:b/>
          <w:bCs/>
          <w:sz w:val="24"/>
          <w:szCs w:val="24"/>
        </w:rPr>
      </w:pPr>
      <w:r w:rsidRPr="001629C4">
        <w:rPr>
          <w:rFonts w:ascii="Times New Roman" w:hAnsi="Times New Roman" w:cs="Times New Roman"/>
          <w:b/>
          <w:bCs/>
          <w:sz w:val="24"/>
          <w:szCs w:val="24"/>
        </w:rPr>
        <w:t>5. Limitations</w:t>
      </w:r>
    </w:p>
    <w:p w14:paraId="0122E37B"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 xml:space="preserve">The findings reflect the tables and fields available in the imported dataset and the visuals included in the </w:t>
      </w:r>
      <w:proofErr w:type="gramStart"/>
      <w:r w:rsidRPr="001629C4">
        <w:rPr>
          <w:rFonts w:ascii="Times New Roman" w:hAnsi="Times New Roman" w:cs="Times New Roman"/>
          <w:sz w:val="24"/>
          <w:szCs w:val="24"/>
        </w:rPr>
        <w:t>dashboard export</w:t>
      </w:r>
      <w:proofErr w:type="gramEnd"/>
      <w:r w:rsidRPr="001629C4">
        <w:rPr>
          <w:rFonts w:ascii="Times New Roman" w:hAnsi="Times New Roman" w:cs="Times New Roman"/>
          <w:sz w:val="24"/>
          <w:szCs w:val="24"/>
        </w:rPr>
        <w:t xml:space="preserve">. Some charts use facility IDs rather than descriptive facility names because a facility-name field was not available in the inspected data. The billed-amount-by-department chart has been updated to use department names, although repeated department names across facilities may combine records. Separate transaction records for laboratory tests, prescriptions, admissions and referrals were not available </w:t>
      </w:r>
      <w:proofErr w:type="gramStart"/>
      <w:r w:rsidRPr="001629C4">
        <w:rPr>
          <w:rFonts w:ascii="Times New Roman" w:hAnsi="Times New Roman" w:cs="Times New Roman"/>
          <w:sz w:val="24"/>
          <w:szCs w:val="24"/>
        </w:rPr>
        <w:t>in</w:t>
      </w:r>
      <w:proofErr w:type="gramEnd"/>
      <w:r w:rsidRPr="001629C4">
        <w:rPr>
          <w:rFonts w:ascii="Times New Roman" w:hAnsi="Times New Roman" w:cs="Times New Roman"/>
          <w:sz w:val="24"/>
          <w:szCs w:val="24"/>
        </w:rPr>
        <w:t xml:space="preserve"> the imported tables used for this dashboard. The bed visual shows the recorded Available category; this requires verification before it can be interpreted as overall bed availability. The equipment table inspected did not include a status or usage field. The feedback table did not include a visible date field for </w:t>
      </w:r>
      <w:proofErr w:type="spellStart"/>
      <w:r w:rsidRPr="001629C4">
        <w:rPr>
          <w:rFonts w:ascii="Times New Roman" w:hAnsi="Times New Roman" w:cs="Times New Roman"/>
          <w:sz w:val="24"/>
          <w:szCs w:val="24"/>
        </w:rPr>
        <w:t>analysing</w:t>
      </w:r>
      <w:proofErr w:type="spellEnd"/>
      <w:r w:rsidRPr="001629C4">
        <w:rPr>
          <w:rFonts w:ascii="Times New Roman" w:hAnsi="Times New Roman" w:cs="Times New Roman"/>
          <w:sz w:val="24"/>
          <w:szCs w:val="24"/>
        </w:rPr>
        <w:t xml:space="preserve"> complaint trends over time. The currency for the total revenue figure is not identified in the exported dashboard.</w:t>
      </w:r>
    </w:p>
    <w:p w14:paraId="327D8E98" w14:textId="77777777" w:rsidR="001629C4" w:rsidRPr="001629C4" w:rsidRDefault="001629C4" w:rsidP="001629C4">
      <w:pPr>
        <w:spacing w:line="360" w:lineRule="auto"/>
        <w:rPr>
          <w:rFonts w:ascii="Times New Roman" w:hAnsi="Times New Roman" w:cs="Times New Roman"/>
          <w:b/>
          <w:bCs/>
          <w:sz w:val="24"/>
          <w:szCs w:val="24"/>
        </w:rPr>
      </w:pPr>
      <w:r w:rsidRPr="001629C4">
        <w:rPr>
          <w:rFonts w:ascii="Times New Roman" w:hAnsi="Times New Roman" w:cs="Times New Roman"/>
          <w:b/>
          <w:bCs/>
          <w:sz w:val="24"/>
          <w:szCs w:val="24"/>
        </w:rPr>
        <w:t>6. Conclusion</w:t>
      </w:r>
    </w:p>
    <w:p w14:paraId="15D43DCE" w14:textId="77777777" w:rsidR="001629C4" w:rsidRPr="001629C4" w:rsidRDefault="001629C4" w:rsidP="001629C4">
      <w:pPr>
        <w:spacing w:line="360" w:lineRule="auto"/>
        <w:rPr>
          <w:rFonts w:ascii="Times New Roman" w:hAnsi="Times New Roman" w:cs="Times New Roman"/>
          <w:sz w:val="24"/>
          <w:szCs w:val="24"/>
        </w:rPr>
      </w:pPr>
      <w:r w:rsidRPr="001629C4">
        <w:rPr>
          <w:rFonts w:ascii="Times New Roman" w:hAnsi="Times New Roman" w:cs="Times New Roman"/>
          <w:sz w:val="24"/>
          <w:szCs w:val="24"/>
        </w:rPr>
        <w:t>The dashboard brings together key indicators on patients, appointments, diagnoses, revenue, staffing, facilities and patient feedback. It reports approximately 20,000 registered patients, 5,000 appointments, 350 doctors, 20 facilities, total revenue of 1,132,677,500 and an average patient rating of 2.99. The patient, financial, operational and experience visuals provide a useful overview of the available records and highlight areas for further management attention. Adding the missing clinical transaction data would extend the analysis to laboratory tests, prescriptions, admissions and referrals.</w:t>
      </w:r>
    </w:p>
    <w:p w14:paraId="0A53CBFD" w14:textId="77777777" w:rsidR="001629C4" w:rsidRPr="001629C4" w:rsidRDefault="001629C4" w:rsidP="001629C4">
      <w:pPr>
        <w:spacing w:line="360" w:lineRule="auto"/>
        <w:rPr>
          <w:rFonts w:ascii="Times New Roman" w:hAnsi="Times New Roman" w:cs="Times New Roman"/>
          <w:sz w:val="24"/>
          <w:szCs w:val="24"/>
        </w:rPr>
      </w:pPr>
      <w:proofErr w:type="spellStart"/>
      <w:r w:rsidRPr="001629C4">
        <w:rPr>
          <w:rFonts w:ascii="Times New Roman" w:hAnsi="Times New Roman" w:cs="Times New Roman"/>
          <w:sz w:val="24"/>
          <w:szCs w:val="24"/>
        </w:rPr>
        <w:t>HealthConnect</w:t>
      </w:r>
      <w:proofErr w:type="spellEnd"/>
      <w:r w:rsidRPr="001629C4">
        <w:rPr>
          <w:rFonts w:ascii="Times New Roman" w:hAnsi="Times New Roman" w:cs="Times New Roman"/>
          <w:sz w:val="24"/>
          <w:szCs w:val="24"/>
        </w:rPr>
        <w:t xml:space="preserve"> Rwanda | Week 6 Business Insights Report</w:t>
      </w:r>
    </w:p>
    <w:p w14:paraId="0A7A40DB" w14:textId="0278206A" w:rsidR="001A1C2F" w:rsidRPr="001629C4" w:rsidRDefault="001A1C2F" w:rsidP="001629C4">
      <w:pPr>
        <w:spacing w:line="360" w:lineRule="auto"/>
        <w:rPr>
          <w:rFonts w:ascii="Times New Roman" w:hAnsi="Times New Roman" w:cs="Times New Roman"/>
          <w:sz w:val="24"/>
          <w:szCs w:val="24"/>
        </w:rPr>
      </w:pPr>
    </w:p>
    <w:sectPr w:rsidR="001A1C2F" w:rsidRPr="001629C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ED65" w14:textId="77777777" w:rsidR="001F6366" w:rsidRDefault="001F6366">
      <w:pPr>
        <w:spacing w:after="0" w:line="240" w:lineRule="auto"/>
      </w:pPr>
      <w:r>
        <w:separator/>
      </w:r>
    </w:p>
  </w:endnote>
  <w:endnote w:type="continuationSeparator" w:id="0">
    <w:p w14:paraId="583C2725" w14:textId="77777777" w:rsidR="001F6366" w:rsidRDefault="001F6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E355" w14:textId="77777777" w:rsidR="001A1C2F" w:rsidRDefault="00000000">
    <w:pPr>
      <w:pStyle w:val="Footer"/>
      <w:jc w:val="center"/>
    </w:pPr>
    <w:proofErr w:type="spellStart"/>
    <w:r>
      <w:rPr>
        <w:sz w:val="16"/>
      </w:rPr>
      <w:t>HealthConnect</w:t>
    </w:r>
    <w:proofErr w:type="spellEnd"/>
    <w:r>
      <w:rPr>
        <w:sz w:val="16"/>
      </w:rPr>
      <w:t xml:space="preserve"> Rwanda | Week 6 Business Insights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618A2" w14:textId="77777777" w:rsidR="001F6366" w:rsidRDefault="001F6366">
      <w:pPr>
        <w:spacing w:after="0" w:line="240" w:lineRule="auto"/>
      </w:pPr>
      <w:r>
        <w:separator/>
      </w:r>
    </w:p>
  </w:footnote>
  <w:footnote w:type="continuationSeparator" w:id="0">
    <w:p w14:paraId="436E2E2E" w14:textId="77777777" w:rsidR="001F6366" w:rsidRDefault="001F63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369878">
    <w:abstractNumId w:val="8"/>
  </w:num>
  <w:num w:numId="2" w16cid:durableId="715129229">
    <w:abstractNumId w:val="6"/>
  </w:num>
  <w:num w:numId="3" w16cid:durableId="503017331">
    <w:abstractNumId w:val="5"/>
  </w:num>
  <w:num w:numId="4" w16cid:durableId="582489719">
    <w:abstractNumId w:val="4"/>
  </w:num>
  <w:num w:numId="5" w16cid:durableId="1141268968">
    <w:abstractNumId w:val="7"/>
  </w:num>
  <w:num w:numId="6" w16cid:durableId="1534224248">
    <w:abstractNumId w:val="3"/>
  </w:num>
  <w:num w:numId="7" w16cid:durableId="82579821">
    <w:abstractNumId w:val="2"/>
  </w:num>
  <w:num w:numId="8" w16cid:durableId="102653886">
    <w:abstractNumId w:val="1"/>
  </w:num>
  <w:num w:numId="9" w16cid:durableId="1122378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9C4"/>
    <w:rsid w:val="001A1C2F"/>
    <w:rsid w:val="001C0BE9"/>
    <w:rsid w:val="001F6366"/>
    <w:rsid w:val="0029639D"/>
    <w:rsid w:val="00326F90"/>
    <w:rsid w:val="007F3F6F"/>
    <w:rsid w:val="00A96FE9"/>
    <w:rsid w:val="00AA1D8D"/>
    <w:rsid w:val="00B47730"/>
    <w:rsid w:val="00CB0664"/>
    <w:rsid w:val="00D21E03"/>
    <w:rsid w:val="00FC693F"/>
    <w:rsid w:val="00FE7A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C3D4D"/>
  <w14:defaultImageDpi w14:val="300"/>
  <w15:docId w15:val="{819D73AA-98B3-414D-8123-A50076574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1424</Words>
  <Characters>8118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Blessing Osazuwa</cp:lastModifiedBy>
  <cp:revision>2</cp:revision>
  <dcterms:created xsi:type="dcterms:W3CDTF">2026-10-25T15:36:00Z</dcterms:created>
  <dcterms:modified xsi:type="dcterms:W3CDTF">2026-10-25T15:36:00Z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2e05246672ebf32bc1642b17d04e539ec810f987668003b124c2a9193ff1f8b7</vt:lpwstr>
  </property>
</Properties>
</file>