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LUMORA RETAIL ANALYTICS</w:t>
      </w:r>
    </w:p>
    <w:p>
      <w:pPr>
        <w:jc w:val="center"/>
      </w:pPr>
      <w:r>
        <w:rPr>
          <w:color w:val="646464"/>
          <w:sz w:val="22"/>
        </w:rPr>
        <w:t>Portfolio Case Study | PostgreSQL + Power BI | 2025</w:t>
      </w:r>
    </w:p>
    <w:p>
      <w:pPr>
        <w:jc w:val="center"/>
      </w:pPr>
      <w:r>
        <w:rPr>
          <w:b/>
          <w:sz w:val="26"/>
        </w:rPr>
        <w:t>Sales, profitability &amp; inventory performance</w:t>
      </w:r>
    </w:p>
    <w:p>
      <w:pPr>
        <w:pStyle w:val="Heading1"/>
      </w:pPr>
      <w:r>
        <w:t>1. Project Overview</w:t>
      </w:r>
    </w:p>
    <w:p>
      <w:r>
        <w:t>Lumora Retail Analytics is a simulated retail analytics project designed to demonstrate how SQL and Power BI can be used to turn operational retail data into business insights. The analysis covers sales, products, stores, inventory, customers and suppliers, with the executive dashboard focused on sales, profitability and inventory performance.</w:t>
        <w:br/>
        <w:br/>
        <w:t>The project was built from the ground up in PostgreSQL and connected to Power BI for interactive reporting. The dataset is synthetic, so the findings are illustrative rather than representative of an actual retailer.</w:t>
      </w:r>
    </w:p>
    <w:p>
      <w:pPr>
        <w:pStyle w:val="Heading1"/>
      </w:pPr>
      <w:r>
        <w:t>2. Business Problem</w:t>
      </w:r>
    </w:p>
    <w:p>
      <w:r>
        <w:t>Management needs a clearer view of what is driving retail performance across products and stores, where profitability is strongest, and where inventory decisions may require further investigation.</w:t>
      </w:r>
    </w:p>
    <w:p>
      <w:pPr>
        <w:pStyle w:val="Heading1"/>
      </w:pPr>
      <w:r>
        <w:t>3. Business Questions</w:t>
      </w:r>
    </w:p>
    <w:p>
      <w:pPr>
        <w:pStyle w:val="ListBullet"/>
      </w:pPr>
      <w:r>
        <w:t>What drives revenue?</w:t>
      </w:r>
    </w:p>
    <w:p>
      <w:pPr>
        <w:pStyle w:val="ListBullet"/>
      </w:pPr>
      <w:r>
        <w:t>Which products are most profitable?</w:t>
      </w:r>
    </w:p>
    <w:p>
      <w:pPr>
        <w:pStyle w:val="ListBullet"/>
      </w:pPr>
      <w:r>
        <w:t>Which stores perform best?</w:t>
      </w:r>
    </w:p>
    <w:p>
      <w:pPr>
        <w:pStyle w:val="ListBullet"/>
      </w:pPr>
      <w:r>
        <w:t>Which products may require stock-out investigation?</w:t>
      </w:r>
    </w:p>
    <w:p>
      <w:pPr>
        <w:pStyle w:val="ListBullet"/>
      </w:pPr>
      <w:r>
        <w:t>Which products may be slow-moving?</w:t>
      </w:r>
    </w:p>
    <w:p>
      <w:pPr>
        <w:pStyle w:val="ListBullet"/>
      </w:pPr>
      <w:r>
        <w:t>Where do supplier and data gaps affect purchasing visibility?</w:t>
      </w:r>
    </w:p>
    <w:p>
      <w:pPr>
        <w:pStyle w:val="ListBullet"/>
      </w:pPr>
      <w:r>
        <w:t>Which customers generate the most revenue?</w:t>
      </w:r>
    </w:p>
    <w:p>
      <w:pPr>
        <w:pStyle w:val="ListBullet"/>
      </w:pPr>
      <w:r>
        <w:t>Are discounts associated with lower profitability?</w:t>
      </w:r>
    </w:p>
    <w:p>
      <w:pPr>
        <w:pStyle w:val="Heading1"/>
      </w:pPr>
      <w:r>
        <w:t>4. Data &amp; Database Design</w:t>
      </w:r>
    </w:p>
    <w:p>
      <w:r>
        <w:t>The PostgreSQL database was structured as a relational retail model. The main entities were stores, suppliers, customers, products, inventory and sales.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Table</w:t>
            </w:r>
          </w:p>
        </w:tc>
        <w:tc>
          <w:tcPr>
            <w:tcW w:type="dxa" w:w="3360"/>
            <w:shd w:fill="1F4E79"/>
          </w:tcPr>
          <w:p>
            <w:r>
              <w:rPr>
                <w:b/>
                <w:color w:val="FFFFFF"/>
                <w:sz w:val="18"/>
              </w:rPr>
              <w:t>Purpose</w:t>
            </w:r>
          </w:p>
        </w:tc>
        <w:tc>
          <w:tcPr>
            <w:tcW w:type="dxa" w:w="3360"/>
            <w:shd w:fill="1F4E79"/>
          </w:tcPr>
          <w:p>
            <w:r>
              <w:rPr>
                <w:b/>
                <w:color w:val="FFFFFF"/>
                <w:sz w:val="18"/>
              </w:rPr>
              <w:t>Rows / Scope</w:t>
            </w:r>
          </w:p>
        </w:tc>
      </w:tr>
      <w:tr>
        <w:tc>
          <w:tcPr>
            <w:tcW w:type="dxa" w:w="3360"/>
            <w:vAlign w:val="center"/>
          </w:tcPr>
          <w:p>
            <w:r>
              <w:rPr>
                <w:sz w:val="18"/>
              </w:rPr>
              <w:t>stores</w:t>
            </w:r>
          </w:p>
        </w:tc>
        <w:tc>
          <w:tcPr>
            <w:tcW w:type="dxa" w:w="3360"/>
            <w:vAlign w:val="center"/>
          </w:tcPr>
          <w:p>
            <w:r>
              <w:rPr>
                <w:sz w:val="18"/>
              </w:rPr>
              <w:t>Store master data</w:t>
            </w:r>
          </w:p>
        </w:tc>
        <w:tc>
          <w:tcPr>
            <w:tcW w:type="dxa" w:w="3360"/>
            <w:vAlign w:val="center"/>
          </w:tcPr>
          <w:p>
            <w:r>
              <w:rPr>
                <w:sz w:val="18"/>
              </w:rPr>
              <w:t>8 stores</w:t>
            </w:r>
          </w:p>
        </w:tc>
      </w:tr>
      <w:tr>
        <w:tc>
          <w:tcPr>
            <w:tcW w:type="dxa" w:w="3360"/>
            <w:vAlign w:val="center"/>
          </w:tcPr>
          <w:p>
            <w:r>
              <w:rPr>
                <w:sz w:val="18"/>
              </w:rPr>
              <w:t>suppliers</w:t>
            </w:r>
          </w:p>
        </w:tc>
        <w:tc>
          <w:tcPr>
            <w:tcW w:type="dxa" w:w="3360"/>
            <w:vAlign w:val="center"/>
          </w:tcPr>
          <w:p>
            <w:r>
              <w:rPr>
                <w:sz w:val="18"/>
              </w:rPr>
              <w:t>Supplier and lead-time information</w:t>
            </w:r>
          </w:p>
        </w:tc>
        <w:tc>
          <w:tcPr>
            <w:tcW w:type="dxa" w:w="3360"/>
            <w:vAlign w:val="center"/>
          </w:tcPr>
          <w:p>
            <w:r>
              <w:rPr>
                <w:sz w:val="18"/>
              </w:rPr>
              <w:t>15 suppliers</w:t>
            </w:r>
          </w:p>
        </w:tc>
      </w:tr>
      <w:tr>
        <w:tc>
          <w:tcPr>
            <w:tcW w:type="dxa" w:w="3360"/>
            <w:vAlign w:val="center"/>
          </w:tcPr>
          <w:p>
            <w:r>
              <w:rPr>
                <w:sz w:val="18"/>
              </w:rPr>
              <w:t>customers</w:t>
            </w:r>
          </w:p>
        </w:tc>
        <w:tc>
          <w:tcPr>
            <w:tcW w:type="dxa" w:w="3360"/>
            <w:vAlign w:val="center"/>
          </w:tcPr>
          <w:p>
            <w:r>
              <w:rPr>
                <w:sz w:val="18"/>
              </w:rPr>
              <w:t>Customer master data</w:t>
            </w:r>
          </w:p>
        </w:tc>
        <w:tc>
          <w:tcPr>
            <w:tcW w:type="dxa" w:w="3360"/>
            <w:vAlign w:val="center"/>
          </w:tcPr>
          <w:p>
            <w:r>
              <w:rPr>
                <w:sz w:val="18"/>
              </w:rPr>
              <w:t>500 customers</w:t>
            </w:r>
          </w:p>
        </w:tc>
      </w:tr>
      <w:tr>
        <w:tc>
          <w:tcPr>
            <w:tcW w:type="dxa" w:w="3360"/>
            <w:vAlign w:val="center"/>
          </w:tcPr>
          <w:p>
            <w:r>
              <w:rPr>
                <w:sz w:val="18"/>
              </w:rPr>
              <w:t>products</w:t>
            </w:r>
          </w:p>
        </w:tc>
        <w:tc>
          <w:tcPr>
            <w:tcW w:type="dxa" w:w="3360"/>
            <w:vAlign w:val="center"/>
          </w:tcPr>
          <w:p>
            <w:r>
              <w:rPr>
                <w:sz w:val="18"/>
              </w:rPr>
              <w:t>Product, pricing and supplier information</w:t>
            </w:r>
          </w:p>
        </w:tc>
        <w:tc>
          <w:tcPr>
            <w:tcW w:type="dxa" w:w="3360"/>
            <w:vAlign w:val="center"/>
          </w:tcPr>
          <w:p>
            <w:r>
              <w:rPr>
                <w:sz w:val="18"/>
              </w:rPr>
              <w:t>50 products</w:t>
            </w:r>
          </w:p>
        </w:tc>
      </w:tr>
      <w:tr>
        <w:tc>
          <w:tcPr>
            <w:tcW w:type="dxa" w:w="3360"/>
            <w:vAlign w:val="center"/>
          </w:tcPr>
          <w:p>
            <w:r>
              <w:rPr>
                <w:sz w:val="18"/>
              </w:rPr>
              <w:t>inventory</w:t>
            </w:r>
          </w:p>
        </w:tc>
        <w:tc>
          <w:tcPr>
            <w:tcW w:type="dxa" w:w="3360"/>
            <w:vAlign w:val="center"/>
          </w:tcPr>
          <w:p>
            <w:r>
              <w:rPr>
                <w:sz w:val="18"/>
              </w:rPr>
              <w:t>Store-product stock snapshot</w:t>
            </w:r>
          </w:p>
        </w:tc>
        <w:tc>
          <w:tcPr>
            <w:tcW w:type="dxa" w:w="3360"/>
            <w:vAlign w:val="center"/>
          </w:tcPr>
          <w:p>
            <w:r>
              <w:rPr>
                <w:sz w:val="18"/>
              </w:rPr>
              <w:t>400 rows</w:t>
            </w:r>
          </w:p>
        </w:tc>
      </w:tr>
      <w:tr>
        <w:tc>
          <w:tcPr>
            <w:tcW w:type="dxa" w:w="3360"/>
            <w:vAlign w:val="center"/>
          </w:tcPr>
          <w:p>
            <w:r>
              <w:rPr>
                <w:sz w:val="18"/>
              </w:rPr>
              <w:t>sales</w:t>
            </w:r>
          </w:p>
        </w:tc>
        <w:tc>
          <w:tcPr>
            <w:tcW w:type="dxa" w:w="3360"/>
            <w:vAlign w:val="center"/>
          </w:tcPr>
          <w:p>
            <w:r>
              <w:rPr>
                <w:sz w:val="18"/>
              </w:rPr>
              <w:t>Transaction-level sales data</w:t>
            </w:r>
          </w:p>
        </w:tc>
        <w:tc>
          <w:tcPr>
            <w:tcW w:type="dxa" w:w="3360"/>
            <w:vAlign w:val="center"/>
          </w:tcPr>
          <w:p>
            <w:r>
              <w:rPr>
                <w:sz w:val="18"/>
              </w:rPr>
              <w:t>5,000 transactions</w:t>
            </w:r>
          </w:p>
        </w:tc>
      </w:tr>
    </w:tbl>
    <w:p/>
    <w:p>
      <w:r>
        <w:t>Power BI used one-to-many relationships from customers, stores and products into sales; suppliers into products; and stores/products into inventory.</w:t>
      </w:r>
    </w:p>
    <w:p>
      <w:pPr>
        <w:pStyle w:val="Heading1"/>
      </w:pPr>
      <w:r>
        <w:t>5. Data Quality &amp; Validation</w:t>
      </w:r>
    </w:p>
    <w:p>
      <w:r>
        <w:t>The dataset was checked for missing or invalid values and referential integrity. Completed checks returned zero missing store, product, customer, quantity, unit-price or payment-method values, and zero invalid quantities, prices, discounts or foreign-key references.</w:t>
      </w:r>
    </w:p>
    <w:p>
      <w:r>
        <w:t>Discount NULLs represent cases where no discount was recorded. They were treated as 0% when calculating revenue and gross profit, without changing the source field.</w:t>
      </w:r>
    </w:p>
    <w:p>
      <w:pPr>
        <w:pStyle w:val="Heading1"/>
      </w:pPr>
      <w:r>
        <w:t>6. SQL Analysis</w:t>
      </w:r>
    </w:p>
    <w:p>
      <w:r>
        <w:t>SQL was used to calculate financial metrics, aggregate performance by product, category and store, compare inventory with sales, examine supplier lead times, analyse customers, and investigate recorded discounts and gross margin.</w:t>
      </w:r>
    </w:p>
    <w:p>
      <w:pPr>
        <w:pStyle w:val="Heading2"/>
      </w:pPr>
      <w:r>
        <w:t>Core Metrics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Metric</w:t>
            </w:r>
          </w:p>
        </w:tc>
        <w:tc>
          <w:tcPr>
            <w:tcW w:type="dxa" w:w="5040"/>
            <w:shd w:fill="1F4E79"/>
          </w:tcPr>
          <w:p>
            <w:r>
              <w:rPr>
                <w:b/>
                <w:color w:val="FFFFFF"/>
                <w:sz w:val="18"/>
              </w:rPr>
              <w:t>Result</w:t>
            </w:r>
          </w:p>
        </w:tc>
      </w:tr>
      <w:tr>
        <w:tc>
          <w:tcPr>
            <w:tcW w:type="dxa" w:w="5040"/>
            <w:vAlign w:val="center"/>
          </w:tcPr>
          <w:p>
            <w:r>
              <w:rPr>
                <w:sz w:val="18"/>
              </w:rPr>
              <w:t>Total transactions</w:t>
            </w:r>
          </w:p>
        </w:tc>
        <w:tc>
          <w:tcPr>
            <w:tcW w:type="dxa" w:w="5040"/>
            <w:vAlign w:val="center"/>
          </w:tcPr>
          <w:p>
            <w:r>
              <w:rPr>
                <w:sz w:val="18"/>
              </w:rPr>
              <w:t>5,000</w:t>
            </w:r>
          </w:p>
        </w:tc>
      </w:tr>
      <w:tr>
        <w:tc>
          <w:tcPr>
            <w:tcW w:type="dxa" w:w="5040"/>
            <w:vAlign w:val="center"/>
          </w:tcPr>
          <w:p>
            <w:r>
              <w:rPr>
                <w:sz w:val="18"/>
              </w:rPr>
              <w:t>Total units sold</w:t>
            </w:r>
          </w:p>
        </w:tc>
        <w:tc>
          <w:tcPr>
            <w:tcW w:type="dxa" w:w="5040"/>
            <w:vAlign w:val="center"/>
          </w:tcPr>
          <w:p>
            <w:r>
              <w:rPr>
                <w:sz w:val="18"/>
              </w:rPr>
              <w:t>17,309</w:t>
            </w:r>
          </w:p>
        </w:tc>
      </w:tr>
      <w:tr>
        <w:tc>
          <w:tcPr>
            <w:tcW w:type="dxa" w:w="5040"/>
            <w:vAlign w:val="center"/>
          </w:tcPr>
          <w:p>
            <w:r>
              <w:rPr>
                <w:sz w:val="18"/>
              </w:rPr>
              <w:t>Total revenue</w:t>
            </w:r>
          </w:p>
        </w:tc>
        <w:tc>
          <w:tcPr>
            <w:tcW w:type="dxa" w:w="5040"/>
            <w:vAlign w:val="center"/>
          </w:tcPr>
          <w:p>
            <w:r>
              <w:rPr>
                <w:sz w:val="18"/>
              </w:rPr>
              <w:t>€246,279.67</w:t>
            </w:r>
          </w:p>
        </w:tc>
      </w:tr>
      <w:tr>
        <w:tc>
          <w:tcPr>
            <w:tcW w:type="dxa" w:w="5040"/>
            <w:vAlign w:val="center"/>
          </w:tcPr>
          <w:p>
            <w:r>
              <w:rPr>
                <w:sz w:val="18"/>
              </w:rPr>
              <w:t>Average transaction value</w:t>
            </w:r>
          </w:p>
        </w:tc>
        <w:tc>
          <w:tcPr>
            <w:tcW w:type="dxa" w:w="5040"/>
            <w:vAlign w:val="center"/>
          </w:tcPr>
          <w:p>
            <w:r>
              <w:rPr>
                <w:sz w:val="18"/>
              </w:rPr>
              <w:t>€49.26</w:t>
            </w:r>
          </w:p>
        </w:tc>
      </w:tr>
      <w:tr>
        <w:tc>
          <w:tcPr>
            <w:tcW w:type="dxa" w:w="5040"/>
            <w:vAlign w:val="center"/>
          </w:tcPr>
          <w:p>
            <w:r>
              <w:rPr>
                <w:sz w:val="18"/>
              </w:rPr>
              <w:t>Gross profit</w:t>
            </w:r>
          </w:p>
        </w:tc>
        <w:tc>
          <w:tcPr>
            <w:tcW w:type="dxa" w:w="5040"/>
            <w:vAlign w:val="center"/>
          </w:tcPr>
          <w:p>
            <w:r>
              <w:rPr>
                <w:sz w:val="18"/>
              </w:rPr>
              <w:t>€141,742.67</w:t>
            </w:r>
          </w:p>
        </w:tc>
      </w:tr>
      <w:tr>
        <w:tc>
          <w:tcPr>
            <w:tcW w:type="dxa" w:w="5040"/>
            <w:vAlign w:val="center"/>
          </w:tcPr>
          <w:p>
            <w:r>
              <w:rPr>
                <w:sz w:val="18"/>
              </w:rPr>
              <w:t>Gross profit margin</w:t>
            </w:r>
          </w:p>
        </w:tc>
        <w:tc>
          <w:tcPr>
            <w:tcW w:type="dxa" w:w="5040"/>
            <w:vAlign w:val="center"/>
          </w:tcPr>
          <w:p>
            <w:r>
              <w:rPr>
                <w:sz w:val="18"/>
              </w:rPr>
              <w:t>57.55%</w:t>
            </w:r>
          </w:p>
        </w:tc>
      </w:tr>
    </w:tbl>
    <w:p/>
    <w:p>
      <w:pPr>
        <w:pStyle w:val="Heading1"/>
      </w:pPr>
      <w:r>
        <w:t>7. Key Findings</w:t>
      </w:r>
    </w:p>
    <w:p>
      <w:pPr>
        <w:pStyle w:val="Heading2"/>
      </w:pPr>
      <w:r>
        <w:t>Revenue and profitability</w:t>
      </w:r>
    </w:p>
    <w:p>
      <w:r>
        <w:t>The business generated €246,279.67 in simulated revenue and €141,742.67 in gross profit across 5,000 transactions, producing a 57.55% gross profit margin.</w:t>
      </w:r>
    </w:p>
    <w:p>
      <w:pPr>
        <w:pStyle w:val="Heading2"/>
      </w:pPr>
      <w:r>
        <w:t>Product performance</w:t>
      </w:r>
    </w:p>
    <w:p>
      <w:r>
        <w:t>Winter Jacket was the strongest visible product by gross profit, generating €15,329.90 in gross profit from €27,894.90 in revenue. Dumbbell Set and Jeans also generated substantial gross profit.</w:t>
      </w:r>
    </w:p>
    <w:p>
      <w:r>
        <w:t>Unit volume and financial contribution were not the same. Yoga Mat sold 437 units, more than Winter Jacket's 359 units, but generated €10,731.25 in revenue and €6,361.25 in gross profit.</w:t>
      </w:r>
    </w:p>
    <w:p>
      <w:pPr>
        <w:pStyle w:val="Heading2"/>
      </w:pPr>
      <w:r>
        <w:t>Store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8"/>
              </w:rPr>
              <w:t>Store</w:t>
            </w:r>
          </w:p>
        </w:tc>
        <w:tc>
          <w:tcPr>
            <w:tcW w:type="dxa" w:w="2016"/>
            <w:shd w:fill="1F4E79"/>
          </w:tcPr>
          <w:p>
            <w:r>
              <w:rPr>
                <w:b/>
                <w:color w:val="FFFFFF"/>
                <w:sz w:val="18"/>
              </w:rPr>
              <w:t>Transactions</w:t>
            </w:r>
          </w:p>
        </w:tc>
        <w:tc>
          <w:tcPr>
            <w:tcW w:type="dxa" w:w="2016"/>
            <w:shd w:fill="1F4E79"/>
          </w:tcPr>
          <w:p>
            <w:r>
              <w:rPr>
                <w:b/>
                <w:color w:val="FFFFFF"/>
                <w:sz w:val="18"/>
              </w:rPr>
              <w:t>Units</w:t>
            </w:r>
          </w:p>
        </w:tc>
        <w:tc>
          <w:tcPr>
            <w:tcW w:type="dxa" w:w="2016"/>
            <w:shd w:fill="1F4E79"/>
          </w:tcPr>
          <w:p>
            <w:r>
              <w:rPr>
                <w:b/>
                <w:color w:val="FFFFFF"/>
                <w:sz w:val="18"/>
              </w:rPr>
              <w:t>Revenue</w:t>
            </w:r>
          </w:p>
        </w:tc>
        <w:tc>
          <w:tcPr>
            <w:tcW w:type="dxa" w:w="2016"/>
            <w:shd w:fill="1F4E79"/>
          </w:tcPr>
          <w:p>
            <w:r>
              <w:rPr>
                <w:b/>
                <w:color w:val="FFFFFF"/>
                <w:sz w:val="18"/>
              </w:rPr>
              <w:t>Gross Profit</w:t>
            </w:r>
          </w:p>
        </w:tc>
      </w:tr>
      <w:tr>
        <w:tc>
          <w:tcPr>
            <w:tcW w:type="dxa" w:w="2016"/>
            <w:vAlign w:val="center"/>
          </w:tcPr>
          <w:p>
            <w:r>
              <w:rPr>
                <w:sz w:val="18"/>
              </w:rPr>
              <w:t>Oulu Centre</w:t>
            </w:r>
          </w:p>
        </w:tc>
        <w:tc>
          <w:tcPr>
            <w:tcW w:type="dxa" w:w="2016"/>
            <w:vAlign w:val="center"/>
          </w:tcPr>
          <w:p>
            <w:r>
              <w:rPr>
                <w:sz w:val="18"/>
              </w:rPr>
              <w:t>618</w:t>
            </w:r>
          </w:p>
        </w:tc>
        <w:tc>
          <w:tcPr>
            <w:tcW w:type="dxa" w:w="2016"/>
            <w:vAlign w:val="center"/>
          </w:tcPr>
          <w:p>
            <w:r>
              <w:rPr>
                <w:sz w:val="18"/>
              </w:rPr>
              <w:t>2,181</w:t>
            </w:r>
          </w:p>
        </w:tc>
        <w:tc>
          <w:tcPr>
            <w:tcW w:type="dxa" w:w="2016"/>
            <w:vAlign w:val="center"/>
          </w:tcPr>
          <w:p>
            <w:r>
              <w:rPr>
                <w:sz w:val="18"/>
              </w:rPr>
              <w:t>€33,536.15</w:t>
            </w:r>
          </w:p>
        </w:tc>
        <w:tc>
          <w:tcPr>
            <w:tcW w:type="dxa" w:w="2016"/>
            <w:vAlign w:val="center"/>
          </w:tcPr>
          <w:p>
            <w:r>
              <w:rPr>
                <w:sz w:val="18"/>
              </w:rPr>
              <w:t>€19,248.45</w:t>
            </w:r>
          </w:p>
        </w:tc>
      </w:tr>
      <w:tr>
        <w:tc>
          <w:tcPr>
            <w:tcW w:type="dxa" w:w="2016"/>
            <w:vAlign w:val="center"/>
          </w:tcPr>
          <w:p>
            <w:r>
              <w:rPr>
                <w:sz w:val="18"/>
              </w:rPr>
              <w:t>Espoo Mall</w:t>
            </w:r>
          </w:p>
        </w:tc>
        <w:tc>
          <w:tcPr>
            <w:tcW w:type="dxa" w:w="2016"/>
            <w:vAlign w:val="center"/>
          </w:tcPr>
          <w:p>
            <w:r>
              <w:rPr>
                <w:sz w:val="18"/>
              </w:rPr>
              <w:t>639</w:t>
            </w:r>
          </w:p>
        </w:tc>
        <w:tc>
          <w:tcPr>
            <w:tcW w:type="dxa" w:w="2016"/>
            <w:vAlign w:val="center"/>
          </w:tcPr>
          <w:p>
            <w:r>
              <w:rPr>
                <w:sz w:val="18"/>
              </w:rPr>
              <w:t>2,210</w:t>
            </w:r>
          </w:p>
        </w:tc>
        <w:tc>
          <w:tcPr>
            <w:tcW w:type="dxa" w:w="2016"/>
            <w:vAlign w:val="center"/>
          </w:tcPr>
          <w:p>
            <w:r>
              <w:rPr>
                <w:sz w:val="18"/>
              </w:rPr>
              <w:t>€33,415.50</w:t>
            </w:r>
          </w:p>
        </w:tc>
        <w:tc>
          <w:tcPr>
            <w:tcW w:type="dxa" w:w="2016"/>
            <w:vAlign w:val="center"/>
          </w:tcPr>
          <w:p>
            <w:r>
              <w:rPr>
                <w:sz w:val="18"/>
              </w:rPr>
              <w:t>€19,163.80</w:t>
            </w:r>
          </w:p>
        </w:tc>
      </w:tr>
      <w:tr>
        <w:tc>
          <w:tcPr>
            <w:tcW w:type="dxa" w:w="2016"/>
            <w:vAlign w:val="center"/>
          </w:tcPr>
          <w:p>
            <w:r>
              <w:rPr>
                <w:sz w:val="18"/>
              </w:rPr>
              <w:t>Jyväskylä</w:t>
            </w:r>
          </w:p>
        </w:tc>
        <w:tc>
          <w:tcPr>
            <w:tcW w:type="dxa" w:w="2016"/>
            <w:vAlign w:val="center"/>
          </w:tcPr>
          <w:p>
            <w:r>
              <w:rPr>
                <w:sz w:val="18"/>
              </w:rPr>
              <w:t>669</w:t>
            </w:r>
          </w:p>
        </w:tc>
        <w:tc>
          <w:tcPr>
            <w:tcW w:type="dxa" w:w="2016"/>
            <w:vAlign w:val="center"/>
          </w:tcPr>
          <w:p>
            <w:r>
              <w:rPr>
                <w:sz w:val="18"/>
              </w:rPr>
              <w:t>2,294</w:t>
            </w:r>
          </w:p>
        </w:tc>
        <w:tc>
          <w:tcPr>
            <w:tcW w:type="dxa" w:w="2016"/>
            <w:vAlign w:val="center"/>
          </w:tcPr>
          <w:p>
            <w:r>
              <w:rPr>
                <w:sz w:val="18"/>
              </w:rPr>
              <w:t>€32,442.38</w:t>
            </w:r>
          </w:p>
        </w:tc>
        <w:tc>
          <w:tcPr>
            <w:tcW w:type="dxa" w:w="2016"/>
            <w:vAlign w:val="center"/>
          </w:tcPr>
          <w:p>
            <w:r>
              <w:rPr>
                <w:sz w:val="18"/>
              </w:rPr>
              <w:t>€18,612.28</w:t>
            </w:r>
          </w:p>
        </w:tc>
      </w:tr>
      <w:tr>
        <w:tc>
          <w:tcPr>
            <w:tcW w:type="dxa" w:w="2016"/>
            <w:vAlign w:val="center"/>
          </w:tcPr>
          <w:p>
            <w:r>
              <w:rPr>
                <w:sz w:val="18"/>
              </w:rPr>
              <w:t>Tampere Centre</w:t>
            </w:r>
          </w:p>
        </w:tc>
        <w:tc>
          <w:tcPr>
            <w:tcW w:type="dxa" w:w="2016"/>
            <w:vAlign w:val="center"/>
          </w:tcPr>
          <w:p>
            <w:r>
              <w:rPr>
                <w:sz w:val="18"/>
              </w:rPr>
              <w:t>645</w:t>
            </w:r>
          </w:p>
        </w:tc>
        <w:tc>
          <w:tcPr>
            <w:tcW w:type="dxa" w:w="2016"/>
            <w:vAlign w:val="center"/>
          </w:tcPr>
          <w:p>
            <w:r>
              <w:rPr>
                <w:sz w:val="18"/>
              </w:rPr>
              <w:t>2,233</w:t>
            </w:r>
          </w:p>
        </w:tc>
        <w:tc>
          <w:tcPr>
            <w:tcW w:type="dxa" w:w="2016"/>
            <w:vAlign w:val="center"/>
          </w:tcPr>
          <w:p>
            <w:r>
              <w:rPr>
                <w:sz w:val="18"/>
              </w:rPr>
              <w:t>€31,231.86</w:t>
            </w:r>
          </w:p>
        </w:tc>
        <w:tc>
          <w:tcPr>
            <w:tcW w:type="dxa" w:w="2016"/>
            <w:vAlign w:val="center"/>
          </w:tcPr>
          <w:p>
            <w:r>
              <w:rPr>
                <w:sz w:val="18"/>
              </w:rPr>
              <w:t>€17,953.36</w:t>
            </w:r>
          </w:p>
        </w:tc>
      </w:tr>
      <w:tr>
        <w:tc>
          <w:tcPr>
            <w:tcW w:type="dxa" w:w="2016"/>
            <w:vAlign w:val="center"/>
          </w:tcPr>
          <w:p>
            <w:r>
              <w:rPr>
                <w:sz w:val="18"/>
              </w:rPr>
              <w:t>Helsinki Central</w:t>
            </w:r>
          </w:p>
        </w:tc>
        <w:tc>
          <w:tcPr>
            <w:tcW w:type="dxa" w:w="2016"/>
            <w:vAlign w:val="center"/>
          </w:tcPr>
          <w:p>
            <w:r>
              <w:rPr>
                <w:sz w:val="18"/>
              </w:rPr>
              <w:t>653</w:t>
            </w:r>
          </w:p>
        </w:tc>
        <w:tc>
          <w:tcPr>
            <w:tcW w:type="dxa" w:w="2016"/>
            <w:vAlign w:val="center"/>
          </w:tcPr>
          <w:p>
            <w:r>
              <w:rPr>
                <w:sz w:val="18"/>
              </w:rPr>
              <w:t>2,304</w:t>
            </w:r>
          </w:p>
        </w:tc>
        <w:tc>
          <w:tcPr>
            <w:tcW w:type="dxa" w:w="2016"/>
            <w:vAlign w:val="center"/>
          </w:tcPr>
          <w:p>
            <w:r>
              <w:rPr>
                <w:sz w:val="18"/>
              </w:rPr>
              <w:t>€30,915.51</w:t>
            </w:r>
          </w:p>
        </w:tc>
        <w:tc>
          <w:tcPr>
            <w:tcW w:type="dxa" w:w="2016"/>
            <w:vAlign w:val="center"/>
          </w:tcPr>
          <w:p>
            <w:r>
              <w:rPr>
                <w:sz w:val="18"/>
              </w:rPr>
              <w:t>€17,881.71</w:t>
            </w:r>
          </w:p>
        </w:tc>
      </w:tr>
      <w:tr>
        <w:tc>
          <w:tcPr>
            <w:tcW w:type="dxa" w:w="2016"/>
            <w:vAlign w:val="center"/>
          </w:tcPr>
          <w:p>
            <w:r>
              <w:rPr>
                <w:sz w:val="18"/>
              </w:rPr>
              <w:t>Lahti</w:t>
            </w:r>
          </w:p>
        </w:tc>
        <w:tc>
          <w:tcPr>
            <w:tcW w:type="dxa" w:w="2016"/>
            <w:vAlign w:val="center"/>
          </w:tcPr>
          <w:p>
            <w:r>
              <w:rPr>
                <w:sz w:val="18"/>
              </w:rPr>
              <w:t>598</w:t>
            </w:r>
          </w:p>
        </w:tc>
        <w:tc>
          <w:tcPr>
            <w:tcW w:type="dxa" w:w="2016"/>
            <w:vAlign w:val="center"/>
          </w:tcPr>
          <w:p>
            <w:r>
              <w:rPr>
                <w:sz w:val="18"/>
              </w:rPr>
              <w:t>2,047</w:t>
            </w:r>
          </w:p>
        </w:tc>
        <w:tc>
          <w:tcPr>
            <w:tcW w:type="dxa" w:w="2016"/>
            <w:vAlign w:val="center"/>
          </w:tcPr>
          <w:p>
            <w:r>
              <w:rPr>
                <w:sz w:val="18"/>
              </w:rPr>
              <w:t>€29,259.41</w:t>
            </w:r>
          </w:p>
        </w:tc>
        <w:tc>
          <w:tcPr>
            <w:tcW w:type="dxa" w:w="2016"/>
            <w:vAlign w:val="center"/>
          </w:tcPr>
          <w:p>
            <w:r>
              <w:rPr>
                <w:sz w:val="18"/>
              </w:rPr>
              <w:t>€16,847.11</w:t>
            </w:r>
          </w:p>
        </w:tc>
      </w:tr>
      <w:tr>
        <w:tc>
          <w:tcPr>
            <w:tcW w:type="dxa" w:w="2016"/>
            <w:vAlign w:val="center"/>
          </w:tcPr>
          <w:p>
            <w:r>
              <w:rPr>
                <w:sz w:val="18"/>
              </w:rPr>
              <w:t>Turku Plaza</w:t>
            </w:r>
          </w:p>
        </w:tc>
        <w:tc>
          <w:tcPr>
            <w:tcW w:type="dxa" w:w="2016"/>
            <w:vAlign w:val="center"/>
          </w:tcPr>
          <w:p>
            <w:r>
              <w:rPr>
                <w:sz w:val="18"/>
              </w:rPr>
              <w:t>614</w:t>
            </w:r>
          </w:p>
        </w:tc>
        <w:tc>
          <w:tcPr>
            <w:tcW w:type="dxa" w:w="2016"/>
            <w:vAlign w:val="center"/>
          </w:tcPr>
          <w:p>
            <w:r>
              <w:rPr>
                <w:sz w:val="18"/>
              </w:rPr>
              <w:t>2,076</w:t>
            </w:r>
          </w:p>
        </w:tc>
        <w:tc>
          <w:tcPr>
            <w:tcW w:type="dxa" w:w="2016"/>
            <w:vAlign w:val="center"/>
          </w:tcPr>
          <w:p>
            <w:r>
              <w:rPr>
                <w:sz w:val="18"/>
              </w:rPr>
              <w:t>€28,251.44</w:t>
            </w:r>
          </w:p>
        </w:tc>
        <w:tc>
          <w:tcPr>
            <w:tcW w:type="dxa" w:w="2016"/>
            <w:vAlign w:val="center"/>
          </w:tcPr>
          <w:p>
            <w:r>
              <w:rPr>
                <w:sz w:val="18"/>
              </w:rPr>
              <w:t>€16,300.24</w:t>
            </w:r>
          </w:p>
        </w:tc>
      </w:tr>
      <w:tr>
        <w:tc>
          <w:tcPr>
            <w:tcW w:type="dxa" w:w="2016"/>
            <w:vAlign w:val="center"/>
          </w:tcPr>
          <w:p>
            <w:r>
              <w:rPr>
                <w:sz w:val="18"/>
              </w:rPr>
              <w:t>Kuopio</w:t>
            </w:r>
          </w:p>
        </w:tc>
        <w:tc>
          <w:tcPr>
            <w:tcW w:type="dxa" w:w="2016"/>
            <w:vAlign w:val="center"/>
          </w:tcPr>
          <w:p>
            <w:r>
              <w:rPr>
                <w:sz w:val="18"/>
              </w:rPr>
              <w:t>564</w:t>
            </w:r>
          </w:p>
        </w:tc>
        <w:tc>
          <w:tcPr>
            <w:tcW w:type="dxa" w:w="2016"/>
            <w:vAlign w:val="center"/>
          </w:tcPr>
          <w:p>
            <w:r>
              <w:rPr>
                <w:sz w:val="18"/>
              </w:rPr>
              <w:t>1,964</w:t>
            </w:r>
          </w:p>
        </w:tc>
        <w:tc>
          <w:tcPr>
            <w:tcW w:type="dxa" w:w="2016"/>
            <w:vAlign w:val="center"/>
          </w:tcPr>
          <w:p>
            <w:r>
              <w:rPr>
                <w:sz w:val="18"/>
              </w:rPr>
              <w:t>€27,227.44</w:t>
            </w:r>
          </w:p>
        </w:tc>
        <w:tc>
          <w:tcPr>
            <w:tcW w:type="dxa" w:w="2016"/>
            <w:vAlign w:val="center"/>
          </w:tcPr>
          <w:p>
            <w:r>
              <w:rPr>
                <w:sz w:val="18"/>
              </w:rPr>
              <w:t>€15,735.74</w:t>
            </w:r>
          </w:p>
        </w:tc>
      </w:tr>
    </w:tbl>
    <w:p/>
    <w:p>
      <w:r>
        <w:t>Oulu Centre recorded the highest revenue and gross profit. Jyväskylä had the highest number of transactions, while Helsinki Central recorded the highest units sold.</w:t>
      </w:r>
    </w:p>
    <w:p>
      <w:pPr>
        <w:pStyle w:val="Heading2"/>
      </w:pPr>
      <w:r>
        <w:t>Category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8"/>
              </w:rPr>
              <w:t>Category</w:t>
            </w:r>
          </w:p>
        </w:tc>
        <w:tc>
          <w:tcPr>
            <w:tcW w:type="dxa" w:w="2520"/>
            <w:shd w:fill="1F4E79"/>
          </w:tcPr>
          <w:p>
            <w:r>
              <w:rPr>
                <w:b/>
                <w:color w:val="FFFFFF"/>
                <w:sz w:val="18"/>
              </w:rPr>
              <w:t>Units</w:t>
            </w:r>
          </w:p>
        </w:tc>
        <w:tc>
          <w:tcPr>
            <w:tcW w:type="dxa" w:w="2520"/>
            <w:shd w:fill="1F4E79"/>
          </w:tcPr>
          <w:p>
            <w:r>
              <w:rPr>
                <w:b/>
                <w:color w:val="FFFFFF"/>
                <w:sz w:val="18"/>
              </w:rPr>
              <w:t>Revenue</w:t>
            </w:r>
          </w:p>
        </w:tc>
        <w:tc>
          <w:tcPr>
            <w:tcW w:type="dxa" w:w="2520"/>
            <w:shd w:fill="1F4E79"/>
          </w:tcPr>
          <w:p>
            <w:r>
              <w:rPr>
                <w:b/>
                <w:color w:val="FFFFFF"/>
                <w:sz w:val="18"/>
              </w:rPr>
              <w:t>Gross Profit</w:t>
            </w:r>
          </w:p>
        </w:tc>
      </w:tr>
      <w:tr>
        <w:tc>
          <w:tcPr>
            <w:tcW w:type="dxa" w:w="2520"/>
            <w:vAlign w:val="center"/>
          </w:tcPr>
          <w:p>
            <w:r>
              <w:rPr>
                <w:sz w:val="18"/>
              </w:rPr>
              <w:t>Clothing</w:t>
            </w:r>
          </w:p>
        </w:tc>
        <w:tc>
          <w:tcPr>
            <w:tcW w:type="dxa" w:w="2520"/>
            <w:vAlign w:val="center"/>
          </w:tcPr>
          <w:p>
            <w:r>
              <w:rPr>
                <w:sz w:val="18"/>
              </w:rPr>
              <w:t>1,745</w:t>
            </w:r>
          </w:p>
        </w:tc>
        <w:tc>
          <w:tcPr>
            <w:tcW w:type="dxa" w:w="2520"/>
            <w:vAlign w:val="center"/>
          </w:tcPr>
          <w:p>
            <w:r>
              <w:rPr>
                <w:sz w:val="18"/>
              </w:rPr>
              <w:t>€60,233.18</w:t>
            </w:r>
          </w:p>
        </w:tc>
        <w:tc>
          <w:tcPr>
            <w:tcW w:type="dxa" w:w="2520"/>
            <w:vAlign w:val="center"/>
          </w:tcPr>
          <w:p>
            <w:r>
              <w:rPr>
                <w:sz w:val="18"/>
              </w:rPr>
              <w:t>€34,482.68</w:t>
            </w:r>
          </w:p>
        </w:tc>
      </w:tr>
      <w:tr>
        <w:tc>
          <w:tcPr>
            <w:tcW w:type="dxa" w:w="2520"/>
            <w:vAlign w:val="center"/>
          </w:tcPr>
          <w:p>
            <w:r>
              <w:rPr>
                <w:sz w:val="18"/>
              </w:rPr>
              <w:t>Electronics</w:t>
            </w:r>
          </w:p>
        </w:tc>
        <w:tc>
          <w:tcPr>
            <w:tcW w:type="dxa" w:w="2520"/>
            <w:vAlign w:val="center"/>
          </w:tcPr>
          <w:p>
            <w:r>
              <w:rPr>
                <w:sz w:val="18"/>
              </w:rPr>
              <w:t>1,733</w:t>
            </w:r>
          </w:p>
        </w:tc>
        <w:tc>
          <w:tcPr>
            <w:tcW w:type="dxa" w:w="2520"/>
            <w:vAlign w:val="center"/>
          </w:tcPr>
          <w:p>
            <w:r>
              <w:rPr>
                <w:sz w:val="18"/>
              </w:rPr>
              <w:t>€46,178.40</w:t>
            </w:r>
          </w:p>
        </w:tc>
        <w:tc>
          <w:tcPr>
            <w:tcW w:type="dxa" w:w="2520"/>
            <w:vAlign w:val="center"/>
          </w:tcPr>
          <w:p>
            <w:r>
              <w:rPr>
                <w:sz w:val="18"/>
              </w:rPr>
              <w:t>€26,846.40</w:t>
            </w:r>
          </w:p>
        </w:tc>
      </w:tr>
      <w:tr>
        <w:tc>
          <w:tcPr>
            <w:tcW w:type="dxa" w:w="2520"/>
            <w:vAlign w:val="center"/>
          </w:tcPr>
          <w:p>
            <w:r>
              <w:rPr>
                <w:sz w:val="18"/>
              </w:rPr>
              <w:t>Fitness</w:t>
            </w:r>
          </w:p>
        </w:tc>
        <w:tc>
          <w:tcPr>
            <w:tcW w:type="dxa" w:w="2520"/>
            <w:vAlign w:val="center"/>
          </w:tcPr>
          <w:p>
            <w:r>
              <w:rPr>
                <w:sz w:val="18"/>
              </w:rPr>
              <w:t>1,754</w:t>
            </w:r>
          </w:p>
        </w:tc>
        <w:tc>
          <w:tcPr>
            <w:tcW w:type="dxa" w:w="2520"/>
            <w:vAlign w:val="center"/>
          </w:tcPr>
          <w:p>
            <w:r>
              <w:rPr>
                <w:sz w:val="18"/>
              </w:rPr>
              <w:t>€39,841.25</w:t>
            </w:r>
          </w:p>
        </w:tc>
        <w:tc>
          <w:tcPr>
            <w:tcW w:type="dxa" w:w="2520"/>
            <w:vAlign w:val="center"/>
          </w:tcPr>
          <w:p>
            <w:r>
              <w:rPr>
                <w:sz w:val="18"/>
              </w:rPr>
              <w:t>€23,296.25</w:t>
            </w:r>
          </w:p>
        </w:tc>
      </w:tr>
      <w:tr>
        <w:tc>
          <w:tcPr>
            <w:tcW w:type="dxa" w:w="2520"/>
            <w:vAlign w:val="center"/>
          </w:tcPr>
          <w:p>
            <w:r>
              <w:rPr>
                <w:sz w:val="18"/>
              </w:rPr>
              <w:t>Beverages</w:t>
            </w:r>
          </w:p>
        </w:tc>
        <w:tc>
          <w:tcPr>
            <w:tcW w:type="dxa" w:w="2520"/>
            <w:vAlign w:val="center"/>
          </w:tcPr>
          <w:p>
            <w:r>
              <w:rPr>
                <w:sz w:val="18"/>
              </w:rPr>
              <w:t>2,810</w:t>
            </w:r>
          </w:p>
        </w:tc>
        <w:tc>
          <w:tcPr>
            <w:tcW w:type="dxa" w:w="2520"/>
            <w:vAlign w:val="center"/>
          </w:tcPr>
          <w:p>
            <w:r>
              <w:rPr>
                <w:sz w:val="18"/>
              </w:rPr>
              <w:t>€30,740.18</w:t>
            </w:r>
          </w:p>
        </w:tc>
        <w:tc>
          <w:tcPr>
            <w:tcW w:type="dxa" w:w="2520"/>
            <w:vAlign w:val="center"/>
          </w:tcPr>
          <w:p>
            <w:r>
              <w:rPr>
                <w:sz w:val="18"/>
              </w:rPr>
              <w:t>€15,416.68</w:t>
            </w:r>
          </w:p>
        </w:tc>
      </w:tr>
      <w:tr>
        <w:tc>
          <w:tcPr>
            <w:tcW w:type="dxa" w:w="2520"/>
            <w:vAlign w:val="center"/>
          </w:tcPr>
          <w:p>
            <w:r>
              <w:rPr>
                <w:sz w:val="18"/>
              </w:rPr>
              <w:t>Home</w:t>
            </w:r>
          </w:p>
        </w:tc>
        <w:tc>
          <w:tcPr>
            <w:tcW w:type="dxa" w:w="2520"/>
            <w:vAlign w:val="center"/>
          </w:tcPr>
          <w:p>
            <w:r>
              <w:rPr>
                <w:sz w:val="18"/>
              </w:rPr>
              <w:t>1,707</w:t>
            </w:r>
          </w:p>
        </w:tc>
        <w:tc>
          <w:tcPr>
            <w:tcW w:type="dxa" w:w="2520"/>
            <w:vAlign w:val="center"/>
          </w:tcPr>
          <w:p>
            <w:r>
              <w:rPr>
                <w:sz w:val="18"/>
              </w:rPr>
              <w:t>€30,348.20</w:t>
            </w:r>
          </w:p>
        </w:tc>
        <w:tc>
          <w:tcPr>
            <w:tcW w:type="dxa" w:w="2520"/>
            <w:vAlign w:val="center"/>
          </w:tcPr>
          <w:p>
            <w:r>
              <w:rPr>
                <w:sz w:val="18"/>
              </w:rPr>
              <w:t>€18,494.20</w:t>
            </w:r>
          </w:p>
        </w:tc>
      </w:tr>
      <w:tr>
        <w:tc>
          <w:tcPr>
            <w:tcW w:type="dxa" w:w="2520"/>
            <w:vAlign w:val="center"/>
          </w:tcPr>
          <w:p>
            <w:r>
              <w:rPr>
                <w:sz w:val="18"/>
              </w:rPr>
              <w:t>Groceries</w:t>
            </w:r>
          </w:p>
        </w:tc>
        <w:tc>
          <w:tcPr>
            <w:tcW w:type="dxa" w:w="2520"/>
            <w:vAlign w:val="center"/>
          </w:tcPr>
          <w:p>
            <w:r>
              <w:rPr>
                <w:sz w:val="18"/>
              </w:rPr>
              <w:t>3,357</w:t>
            </w:r>
          </w:p>
        </w:tc>
        <w:tc>
          <w:tcPr>
            <w:tcW w:type="dxa" w:w="2520"/>
            <w:vAlign w:val="center"/>
          </w:tcPr>
          <w:p>
            <w:r>
              <w:rPr>
                <w:sz w:val="18"/>
              </w:rPr>
              <w:t>€18,247.87</w:t>
            </w:r>
          </w:p>
        </w:tc>
        <w:tc>
          <w:tcPr>
            <w:tcW w:type="dxa" w:w="2520"/>
            <w:vAlign w:val="center"/>
          </w:tcPr>
          <w:p>
            <w:r>
              <w:rPr>
                <w:sz w:val="18"/>
              </w:rPr>
              <w:t>€10,317.67</w:t>
            </w:r>
          </w:p>
        </w:tc>
      </w:tr>
      <w:tr>
        <w:tc>
          <w:tcPr>
            <w:tcW w:type="dxa" w:w="2520"/>
            <w:vAlign w:val="center"/>
          </w:tcPr>
          <w:p>
            <w:r>
              <w:rPr>
                <w:sz w:val="18"/>
              </w:rPr>
              <w:t>Snacks</w:t>
            </w:r>
          </w:p>
        </w:tc>
        <w:tc>
          <w:tcPr>
            <w:tcW w:type="dxa" w:w="2520"/>
            <w:vAlign w:val="center"/>
          </w:tcPr>
          <w:p>
            <w:r>
              <w:rPr>
                <w:sz w:val="18"/>
              </w:rPr>
              <w:t>2,461</w:t>
            </w:r>
          </w:p>
        </w:tc>
        <w:tc>
          <w:tcPr>
            <w:tcW w:type="dxa" w:w="2520"/>
            <w:vAlign w:val="center"/>
          </w:tcPr>
          <w:p>
            <w:r>
              <w:rPr>
                <w:sz w:val="18"/>
              </w:rPr>
              <w:t>€11,921.14</w:t>
            </w:r>
          </w:p>
        </w:tc>
        <w:tc>
          <w:tcPr>
            <w:tcW w:type="dxa" w:w="2520"/>
            <w:vAlign w:val="center"/>
          </w:tcPr>
          <w:p>
            <w:r>
              <w:rPr>
                <w:sz w:val="18"/>
              </w:rPr>
              <w:t>€7,123.44</w:t>
            </w:r>
          </w:p>
        </w:tc>
      </w:tr>
      <w:tr>
        <w:tc>
          <w:tcPr>
            <w:tcW w:type="dxa" w:w="2520"/>
            <w:vAlign w:val="center"/>
          </w:tcPr>
          <w:p>
            <w:r>
              <w:rPr>
                <w:sz w:val="18"/>
              </w:rPr>
              <w:t>Stationery</w:t>
            </w:r>
          </w:p>
        </w:tc>
        <w:tc>
          <w:tcPr>
            <w:tcW w:type="dxa" w:w="2520"/>
            <w:vAlign w:val="center"/>
          </w:tcPr>
          <w:p>
            <w:r>
              <w:rPr>
                <w:sz w:val="18"/>
              </w:rPr>
              <w:t>1,742</w:t>
            </w:r>
          </w:p>
        </w:tc>
        <w:tc>
          <w:tcPr>
            <w:tcW w:type="dxa" w:w="2520"/>
            <w:vAlign w:val="center"/>
          </w:tcPr>
          <w:p>
            <w:r>
              <w:rPr>
                <w:sz w:val="18"/>
              </w:rPr>
              <w:t>€8,796.49</w:t>
            </w:r>
          </w:p>
        </w:tc>
        <w:tc>
          <w:tcPr>
            <w:tcW w:type="dxa" w:w="2520"/>
            <w:vAlign w:val="center"/>
          </w:tcPr>
          <w:p>
            <w:r>
              <w:rPr>
                <w:sz w:val="18"/>
              </w:rPr>
              <w:t>€5,765.36</w:t>
            </w:r>
          </w:p>
        </w:tc>
      </w:tr>
    </w:tbl>
    <w:p/>
    <w:p>
      <w:r>
        <w:t>Clothing generated the highest category revenue and gross profit, while Groceries recorded the highest unit volume.</w:t>
      </w:r>
    </w:p>
    <w:p>
      <w:pPr>
        <w:pStyle w:val="Heading2"/>
      </w:pPr>
      <w:r>
        <w:t>Discounts and gross margin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8"/>
              </w:rPr>
              <w:t>Recorded Discount</w:t>
            </w:r>
          </w:p>
        </w:tc>
        <w:tc>
          <w:tcPr>
            <w:tcW w:type="dxa" w:w="2016"/>
            <w:shd w:fill="1F4E79"/>
          </w:tcPr>
          <w:p>
            <w:r>
              <w:rPr>
                <w:b/>
                <w:color w:val="FFFFFF"/>
                <w:sz w:val="18"/>
              </w:rPr>
              <w:t>Transactions</w:t>
            </w:r>
          </w:p>
        </w:tc>
        <w:tc>
          <w:tcPr>
            <w:tcW w:type="dxa" w:w="2016"/>
            <w:shd w:fill="1F4E79"/>
          </w:tcPr>
          <w:p>
            <w:r>
              <w:rPr>
                <w:b/>
                <w:color w:val="FFFFFF"/>
                <w:sz w:val="18"/>
              </w:rPr>
              <w:t>Revenue</w:t>
            </w:r>
          </w:p>
        </w:tc>
        <w:tc>
          <w:tcPr>
            <w:tcW w:type="dxa" w:w="2016"/>
            <w:shd w:fill="1F4E79"/>
          </w:tcPr>
          <w:p>
            <w:r>
              <w:rPr>
                <w:b/>
                <w:color w:val="FFFFFF"/>
                <w:sz w:val="18"/>
              </w:rPr>
              <w:t>Gross Profit</w:t>
            </w:r>
          </w:p>
        </w:tc>
        <w:tc>
          <w:tcPr>
            <w:tcW w:type="dxa" w:w="2016"/>
            <w:shd w:fill="1F4E79"/>
          </w:tcPr>
          <w:p>
            <w:r>
              <w:rPr>
                <w:b/>
                <w:color w:val="FFFFFF"/>
                <w:sz w:val="18"/>
              </w:rPr>
              <w:t>Gross Margin</w:t>
            </w:r>
          </w:p>
        </w:tc>
      </w:tr>
      <w:tr>
        <w:tc>
          <w:tcPr>
            <w:tcW w:type="dxa" w:w="2016"/>
            <w:vAlign w:val="center"/>
          </w:tcPr>
          <w:p>
            <w:r>
              <w:rPr>
                <w:sz w:val="18"/>
              </w:rPr>
              <w:t>0%</w:t>
            </w:r>
          </w:p>
        </w:tc>
        <w:tc>
          <w:tcPr>
            <w:tcW w:type="dxa" w:w="2016"/>
            <w:vAlign w:val="center"/>
          </w:tcPr>
          <w:p>
            <w:r>
              <w:rPr>
                <w:sz w:val="18"/>
              </w:rPr>
              <w:t>3,664</w:t>
            </w:r>
          </w:p>
        </w:tc>
        <w:tc>
          <w:tcPr>
            <w:tcW w:type="dxa" w:w="2016"/>
            <w:vAlign w:val="center"/>
          </w:tcPr>
          <w:p>
            <w:r>
              <w:rPr>
                <w:sz w:val="18"/>
              </w:rPr>
              <w:t>€181,839.40</w:t>
            </w:r>
          </w:p>
        </w:tc>
        <w:tc>
          <w:tcPr>
            <w:tcW w:type="dxa" w:w="2016"/>
            <w:vAlign w:val="center"/>
          </w:tcPr>
          <w:p>
            <w:r>
              <w:rPr>
                <w:sz w:val="18"/>
              </w:rPr>
              <w:t>€105,996.40</w:t>
            </w:r>
          </w:p>
        </w:tc>
        <w:tc>
          <w:tcPr>
            <w:tcW w:type="dxa" w:w="2016"/>
            <w:vAlign w:val="center"/>
          </w:tcPr>
          <w:p>
            <w:r>
              <w:rPr>
                <w:sz w:val="18"/>
              </w:rPr>
              <w:t>58.3%</w:t>
            </w:r>
          </w:p>
        </w:tc>
      </w:tr>
      <w:tr>
        <w:tc>
          <w:tcPr>
            <w:tcW w:type="dxa" w:w="2016"/>
            <w:vAlign w:val="center"/>
          </w:tcPr>
          <w:p>
            <w:r>
              <w:rPr>
                <w:sz w:val="18"/>
              </w:rPr>
              <w:t>5%</w:t>
            </w:r>
          </w:p>
        </w:tc>
        <w:tc>
          <w:tcPr>
            <w:tcW w:type="dxa" w:w="2016"/>
            <w:vAlign w:val="center"/>
          </w:tcPr>
          <w:p>
            <w:r>
              <w:rPr>
                <w:sz w:val="18"/>
              </w:rPr>
              <w:t>935</w:t>
            </w:r>
          </w:p>
        </w:tc>
        <w:tc>
          <w:tcPr>
            <w:tcW w:type="dxa" w:w="2016"/>
            <w:vAlign w:val="center"/>
          </w:tcPr>
          <w:p>
            <w:r>
              <w:rPr>
                <w:sz w:val="18"/>
              </w:rPr>
              <w:t>€46,479.42</w:t>
            </w:r>
          </w:p>
        </w:tc>
        <w:tc>
          <w:tcPr>
            <w:tcW w:type="dxa" w:w="2016"/>
            <w:vAlign w:val="center"/>
          </w:tcPr>
          <w:p>
            <w:r>
              <w:rPr>
                <w:sz w:val="18"/>
              </w:rPr>
              <w:t>€26,095.12</w:t>
            </w:r>
          </w:p>
        </w:tc>
        <w:tc>
          <w:tcPr>
            <w:tcW w:type="dxa" w:w="2016"/>
            <w:vAlign w:val="center"/>
          </w:tcPr>
          <w:p>
            <w:r>
              <w:rPr>
                <w:sz w:val="18"/>
              </w:rPr>
              <w:t>56.1%</w:t>
            </w:r>
          </w:p>
        </w:tc>
      </w:tr>
      <w:tr>
        <w:tc>
          <w:tcPr>
            <w:tcW w:type="dxa" w:w="2016"/>
            <w:vAlign w:val="center"/>
          </w:tcPr>
          <w:p>
            <w:r>
              <w:rPr>
                <w:sz w:val="18"/>
              </w:rPr>
              <w:t>10%</w:t>
            </w:r>
          </w:p>
        </w:tc>
        <w:tc>
          <w:tcPr>
            <w:tcW w:type="dxa" w:w="2016"/>
            <w:vAlign w:val="center"/>
          </w:tcPr>
          <w:p>
            <w:r>
              <w:rPr>
                <w:sz w:val="18"/>
              </w:rPr>
              <w:t>401</w:t>
            </w:r>
          </w:p>
        </w:tc>
        <w:tc>
          <w:tcPr>
            <w:tcW w:type="dxa" w:w="2016"/>
            <w:vAlign w:val="center"/>
          </w:tcPr>
          <w:p>
            <w:r>
              <w:rPr>
                <w:sz w:val="18"/>
              </w:rPr>
              <w:t>€17,960.85</w:t>
            </w:r>
          </w:p>
        </w:tc>
        <w:tc>
          <w:tcPr>
            <w:tcW w:type="dxa" w:w="2016"/>
            <w:vAlign w:val="center"/>
          </w:tcPr>
          <w:p>
            <w:r>
              <w:rPr>
                <w:sz w:val="18"/>
              </w:rPr>
              <w:t>€9,651.15</w:t>
            </w:r>
          </w:p>
        </w:tc>
        <w:tc>
          <w:tcPr>
            <w:tcW w:type="dxa" w:w="2016"/>
            <w:vAlign w:val="center"/>
          </w:tcPr>
          <w:p>
            <w:r>
              <w:rPr>
                <w:sz w:val="18"/>
              </w:rPr>
              <w:t>53.7%</w:t>
            </w:r>
          </w:p>
        </w:tc>
      </w:tr>
    </w:tbl>
    <w:p/>
    <w:p>
      <w:r>
        <w:t>Gross margin was lower at higher recorded discount rates in this dataset. This is an association, not evidence that discounts caused the lower margin.</w:t>
      </w:r>
    </w:p>
    <w:p>
      <w:pPr>
        <w:pStyle w:val="Heading2"/>
      </w:pPr>
      <w:r>
        <w:t>Inventory and sales</w:t>
      </w:r>
    </w:p>
    <w:p>
      <w:r>
        <w:t>Inventory was compared with full-period units sold to identify products that may warrant further investigation. Examples included LED Desk Lamp (1,028 current stock versus 339 sold), Peanut Butter 400g (992 versus 335), and Notebook A5 (844 versus 378).</w:t>
      </w:r>
    </w:p>
    <w:p>
      <w:r>
        <w:t>These comparisons are exploratory because inventory is a point-in-time snapshot while sales cover the full analysis period.</w:t>
      </w:r>
    </w:p>
    <w:p>
      <w:pPr>
        <w:pStyle w:val="Heading2"/>
      </w:pPr>
      <w:r>
        <w:t>Supplier visibility</w:t>
      </w:r>
    </w:p>
    <w:p>
      <w:r>
        <w:t>Supplier lead times ranged from 3 to 12 days. ValueSource Oy had the longest listed lead time at 12 days, while Arctic Supply Co had the largest current stock exposure in the supplier summary. These observations are descriptive rather than proof of supplier risk.</w:t>
      </w:r>
    </w:p>
    <w:p>
      <w:pPr>
        <w:pStyle w:val="Heading2"/>
      </w:pPr>
      <w:r>
        <w:t>Customer analysis</w:t>
      </w:r>
    </w:p>
    <w:p>
      <w:r>
        <w:t>Customer-level SQL analysis was also performed. Customer 244 was the highest visible customer by revenue, with 19 transactions, 78 units and €1,546.88 in revenue. Customer analysis was intentionally not included in the executive dashboard because the final dashboard scope focuses on sales, profitability and inventory.</w:t>
      </w:r>
    </w:p>
    <w:p>
      <w:pPr>
        <w:pStyle w:val="Heading1"/>
      </w:pPr>
      <w:r>
        <w:t>8. Power BI Dashboard</w:t>
      </w:r>
    </w:p>
    <w:p>
      <w:r>
        <w:t>The final Power BI dashboard is a single-page executive view focused on the information most relevant to management review.</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Dashboard Element</w:t>
            </w:r>
          </w:p>
        </w:tc>
        <w:tc>
          <w:tcPr>
            <w:tcW w:type="dxa" w:w="5040"/>
            <w:shd w:fill="1F4E79"/>
          </w:tcPr>
          <w:p>
            <w:r>
              <w:rPr>
                <w:b/>
                <w:color w:val="FFFFFF"/>
                <w:sz w:val="18"/>
              </w:rPr>
              <w:t>Purpose</w:t>
            </w:r>
          </w:p>
        </w:tc>
      </w:tr>
      <w:tr>
        <w:tc>
          <w:tcPr>
            <w:tcW w:type="dxa" w:w="5040"/>
            <w:vAlign w:val="center"/>
          </w:tcPr>
          <w:p>
            <w:r>
              <w:rPr>
                <w:sz w:val="18"/>
              </w:rPr>
              <w:t>KPI cards</w:t>
            </w:r>
          </w:p>
        </w:tc>
        <w:tc>
          <w:tcPr>
            <w:tcW w:type="dxa" w:w="5040"/>
            <w:vAlign w:val="center"/>
          </w:tcPr>
          <w:p>
            <w:r>
              <w:rPr>
                <w:sz w:val="18"/>
              </w:rPr>
              <w:t>Revenue, transactions, units, average transaction value, gross profit and gross margin</w:t>
            </w:r>
          </w:p>
        </w:tc>
      </w:tr>
      <w:tr>
        <w:tc>
          <w:tcPr>
            <w:tcW w:type="dxa" w:w="5040"/>
            <w:vAlign w:val="center"/>
          </w:tcPr>
          <w:p>
            <w:r>
              <w:rPr>
                <w:sz w:val="18"/>
              </w:rPr>
              <w:t>Monthly Revenue Trend</w:t>
            </w:r>
          </w:p>
        </w:tc>
        <w:tc>
          <w:tcPr>
            <w:tcW w:type="dxa" w:w="5040"/>
            <w:vAlign w:val="center"/>
          </w:tcPr>
          <w:p>
            <w:r>
              <w:rPr>
                <w:sz w:val="18"/>
              </w:rPr>
              <w:t>Shows changes in revenue across 2025</w:t>
            </w:r>
          </w:p>
        </w:tc>
      </w:tr>
      <w:tr>
        <w:tc>
          <w:tcPr>
            <w:tcW w:type="dxa" w:w="5040"/>
            <w:vAlign w:val="center"/>
          </w:tcPr>
          <w:p>
            <w:r>
              <w:rPr>
                <w:sz w:val="18"/>
              </w:rPr>
              <w:t>Revenue by Product Category</w:t>
            </w:r>
          </w:p>
        </w:tc>
        <w:tc>
          <w:tcPr>
            <w:tcW w:type="dxa" w:w="5040"/>
            <w:vAlign w:val="center"/>
          </w:tcPr>
          <w:p>
            <w:r>
              <w:rPr>
                <w:sz w:val="18"/>
              </w:rPr>
              <w:t>Compares category contribution to revenue</w:t>
            </w:r>
          </w:p>
        </w:tc>
      </w:tr>
      <w:tr>
        <w:tc>
          <w:tcPr>
            <w:tcW w:type="dxa" w:w="5040"/>
            <w:vAlign w:val="center"/>
          </w:tcPr>
          <w:p>
            <w:r>
              <w:rPr>
                <w:sz w:val="18"/>
              </w:rPr>
              <w:t>Revenue by Store</w:t>
            </w:r>
          </w:p>
        </w:tc>
        <w:tc>
          <w:tcPr>
            <w:tcW w:type="dxa" w:w="5040"/>
            <w:vAlign w:val="center"/>
          </w:tcPr>
          <w:p>
            <w:r>
              <w:rPr>
                <w:sz w:val="18"/>
              </w:rPr>
              <w:t>Compares store-level revenue</w:t>
            </w:r>
          </w:p>
        </w:tc>
      </w:tr>
      <w:tr>
        <w:tc>
          <w:tcPr>
            <w:tcW w:type="dxa" w:w="5040"/>
            <w:vAlign w:val="center"/>
          </w:tcPr>
          <w:p>
            <w:r>
              <w:rPr>
                <w:sz w:val="18"/>
              </w:rPr>
              <w:t>Top 10 Products by Gross Profit</w:t>
            </w:r>
          </w:p>
        </w:tc>
        <w:tc>
          <w:tcPr>
            <w:tcW w:type="dxa" w:w="5040"/>
            <w:vAlign w:val="center"/>
          </w:tcPr>
          <w:p>
            <w:r>
              <w:rPr>
                <w:sz w:val="18"/>
              </w:rPr>
              <w:t>Highlights products contributing most to gross profit</w:t>
            </w:r>
          </w:p>
        </w:tc>
      </w:tr>
      <w:tr>
        <w:tc>
          <w:tcPr>
            <w:tcW w:type="dxa" w:w="5040"/>
            <w:vAlign w:val="center"/>
          </w:tcPr>
          <w:p>
            <w:r>
              <w:rPr>
                <w:sz w:val="18"/>
              </w:rPr>
              <w:t>Inventory vs Units Sold</w:t>
            </w:r>
          </w:p>
        </w:tc>
        <w:tc>
          <w:tcPr>
            <w:tcW w:type="dxa" w:w="5040"/>
            <w:vAlign w:val="center"/>
          </w:tcPr>
          <w:p>
            <w:r>
              <w:rPr>
                <w:sz w:val="18"/>
              </w:rPr>
              <w:t>Flags products for inventory investigation</w:t>
            </w:r>
          </w:p>
        </w:tc>
      </w:tr>
      <w:tr>
        <w:tc>
          <w:tcPr>
            <w:tcW w:type="dxa" w:w="5040"/>
            <w:vAlign w:val="center"/>
          </w:tcPr>
          <w:p>
            <w:r>
              <w:rPr>
                <w:sz w:val="18"/>
              </w:rPr>
              <w:t>Gross Margin by Discount Rate</w:t>
            </w:r>
          </w:p>
        </w:tc>
        <w:tc>
          <w:tcPr>
            <w:tcW w:type="dxa" w:w="5040"/>
            <w:vAlign w:val="center"/>
          </w:tcPr>
          <w:p>
            <w:r>
              <w:rPr>
                <w:sz w:val="18"/>
              </w:rPr>
              <w:t>Shows margin across recorded discount levels</w:t>
            </w:r>
          </w:p>
        </w:tc>
      </w:tr>
    </w:tbl>
    <w:p/>
    <w:p>
      <w:r>
        <w:t>Dashboard title: LUMORA RETAIL PERFORMANCE. Subtitle: Sales, profitability &amp; inventory performance | 2025.</w:t>
      </w:r>
    </w:p>
    <w:p>
      <w:pPr>
        <w:pStyle w:val="Heading1"/>
      </w:pPr>
      <w:r>
        <w:t>9. Business Interpretation</w:t>
      </w:r>
    </w:p>
    <w:p>
      <w:pPr>
        <w:pStyle w:val="ListBullet"/>
      </w:pPr>
      <w:r>
        <w:t>Review high-profit products to understand the product characteristics, pricing and demand patterns associated with stronger contribution.</w:t>
      </w:r>
    </w:p>
    <w:p>
      <w:pPr>
        <w:pStyle w:val="ListBullet"/>
      </w:pPr>
      <w:r>
        <w:t>Compare store performance alongside local demand, product mix and operating costs before making store-level decisions.</w:t>
      </w:r>
    </w:p>
    <w:p>
      <w:pPr>
        <w:pStyle w:val="ListBullet"/>
      </w:pPr>
      <w:r>
        <w:t>Use inventory and sales information together when reviewing potential slow-moving or overstocked products.</w:t>
      </w:r>
    </w:p>
    <w:p>
      <w:pPr>
        <w:pStyle w:val="ListBullet"/>
      </w:pPr>
      <w:r>
        <w:t>Monitor discounting with profitability in mind, while testing whether discounts generate enough incremental demand to justify the margin reduction.</w:t>
      </w:r>
    </w:p>
    <w:p>
      <w:pPr>
        <w:pStyle w:val="ListBullet"/>
      </w:pPr>
      <w:r>
        <w:t>Use supplier lead time as one input into replenishment planning rather than treating it alone as a measure of supplier risk.</w:t>
      </w:r>
    </w:p>
    <w:p>
      <w:pPr>
        <w:pStyle w:val="ListBullet"/>
      </w:pPr>
      <w:r>
        <w:t>Build a more robust inventory analysis using daily or weekly stock history and product-level demand rates.</w:t>
      </w:r>
    </w:p>
    <w:p>
      <w:pPr>
        <w:pStyle w:val="Heading1"/>
      </w:pPr>
      <w:r>
        <w:t>10. Limitations</w:t>
      </w:r>
    </w:p>
    <w:p>
      <w:pPr>
        <w:pStyle w:val="ListBullet"/>
      </w:pPr>
      <w:r>
        <w:t>The dataset is synthetic/simulated and does not represent actual Lumora Retail operations.</w:t>
      </w:r>
    </w:p>
    <w:p>
      <w:pPr>
        <w:pStyle w:val="ListBullet"/>
      </w:pPr>
      <w:r>
        <w:t>The discount analysis is observational and does not establish causation.</w:t>
      </w:r>
    </w:p>
    <w:p>
      <w:pPr>
        <w:pStyle w:val="ListBullet"/>
      </w:pPr>
      <w:r>
        <w:t>Inventory is a point-in-time snapshot, while sales represent the full analysis period.</w:t>
      </w:r>
    </w:p>
    <w:p>
      <w:pPr>
        <w:pStyle w:val="ListBullet"/>
      </w:pPr>
      <w:r>
        <w:t>Supplier lead time is descriptive and does not by itself establish supplier risk.</w:t>
      </w:r>
    </w:p>
    <w:p>
      <w:pPr>
        <w:pStyle w:val="ListBullet"/>
      </w:pPr>
      <w:r>
        <w:t>Customer analysis is based on the simulated transaction history and is not included in the executive dashboard.</w:t>
      </w:r>
    </w:p>
    <w:p>
      <w:pPr>
        <w:pStyle w:val="Heading1"/>
      </w:pPr>
      <w:r>
        <w:t>11. Tools &amp; Skills Demonstrated</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Area</w:t>
            </w:r>
          </w:p>
        </w:tc>
        <w:tc>
          <w:tcPr>
            <w:tcW w:type="dxa" w:w="5040"/>
            <w:shd w:fill="1F4E79"/>
          </w:tcPr>
          <w:p>
            <w:r>
              <w:rPr>
                <w:b/>
                <w:color w:val="FFFFFF"/>
                <w:sz w:val="18"/>
              </w:rPr>
              <w:t>Skills Demonstrated</w:t>
            </w:r>
          </w:p>
        </w:tc>
      </w:tr>
      <w:tr>
        <w:tc>
          <w:tcPr>
            <w:tcW w:type="dxa" w:w="5040"/>
            <w:vAlign w:val="center"/>
          </w:tcPr>
          <w:p>
            <w:r>
              <w:rPr>
                <w:sz w:val="18"/>
              </w:rPr>
              <w:t>SQL / PostgreSQL</w:t>
            </w:r>
          </w:p>
        </w:tc>
        <w:tc>
          <w:tcPr>
            <w:tcW w:type="dxa" w:w="5040"/>
            <w:vAlign w:val="center"/>
          </w:tcPr>
          <w:p>
            <w:r>
              <w:rPr>
                <w:sz w:val="18"/>
              </w:rPr>
              <w:t>Relational modelling, joins, aggregation, CASE/COALESCE, date analysis, subqueries, data-quality checks</w:t>
            </w:r>
          </w:p>
        </w:tc>
      </w:tr>
      <w:tr>
        <w:tc>
          <w:tcPr>
            <w:tcW w:type="dxa" w:w="5040"/>
            <w:vAlign w:val="center"/>
          </w:tcPr>
          <w:p>
            <w:r>
              <w:rPr>
                <w:sz w:val="18"/>
              </w:rPr>
              <w:t>Data Analysis</w:t>
            </w:r>
          </w:p>
        </w:tc>
        <w:tc>
          <w:tcPr>
            <w:tcW w:type="dxa" w:w="5040"/>
            <w:vAlign w:val="center"/>
          </w:tcPr>
          <w:p>
            <w:r>
              <w:rPr>
                <w:sz w:val="18"/>
              </w:rPr>
              <w:t>Revenue, gross profit, margin, store/product/category analysis, inventory investigation</w:t>
            </w:r>
          </w:p>
        </w:tc>
      </w:tr>
      <w:tr>
        <w:tc>
          <w:tcPr>
            <w:tcW w:type="dxa" w:w="5040"/>
            <w:vAlign w:val="center"/>
          </w:tcPr>
          <w:p>
            <w:r>
              <w:rPr>
                <w:sz w:val="18"/>
              </w:rPr>
              <w:t>Power BI</w:t>
            </w:r>
          </w:p>
        </w:tc>
        <w:tc>
          <w:tcPr>
            <w:tcW w:type="dxa" w:w="5040"/>
            <w:vAlign w:val="center"/>
          </w:tcPr>
          <w:p>
            <w:r>
              <w:rPr>
                <w:sz w:val="18"/>
              </w:rPr>
              <w:t>Data modelling, relationships, DAX measures, calculated columns, KPI cards and dashboard design</w:t>
            </w:r>
          </w:p>
        </w:tc>
      </w:tr>
      <w:tr>
        <w:tc>
          <w:tcPr>
            <w:tcW w:type="dxa" w:w="5040"/>
            <w:vAlign w:val="center"/>
          </w:tcPr>
          <w:p>
            <w:r>
              <w:rPr>
                <w:sz w:val="18"/>
              </w:rPr>
              <w:t>Business Analytics</w:t>
            </w:r>
          </w:p>
        </w:tc>
        <w:tc>
          <w:tcPr>
            <w:tcW w:type="dxa" w:w="5040"/>
            <w:vAlign w:val="center"/>
          </w:tcPr>
          <w:p>
            <w:r>
              <w:rPr>
                <w:sz w:val="18"/>
              </w:rPr>
              <w:t>Translating business questions into metrics, findings and management-focused recommendations</w:t>
            </w:r>
          </w:p>
        </w:tc>
      </w:tr>
    </w:tbl>
    <w:p/>
    <w:p>
      <w:pPr>
        <w:pStyle w:val="Heading1"/>
      </w:pPr>
      <w:r>
        <w:t>12. Project Outcome</w:t>
      </w:r>
    </w:p>
    <w:p>
      <w:r>
        <w:t>Lumora Retail Analytics demonstrates an end-to-end analytics workflow: starting with a business problem, designing a relational database, validating the data, analysing performance in SQL, and presenting decision-relevant findings through Power BI.</w:t>
      </w:r>
    </w:p>
    <w:p>
      <w:r>
        <w:t>The project demonstrates technical execution alongside business thinking: connecting analysis to questions, interpreting results carefully, and communicating limitations rather than overclaiming what the data proves.</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Lumora Retail Analytics | Portfolio Case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