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0.9.0.dev0</w:t>
      </w:r>
      <w:r>
        <w:rPr>
          <w:color w:val="66727C"/>
          <w:sz w:val="21"/>
        </w:rPr>
        <w:br/>
      </w:r>
      <w:r>
        <w:rPr>
          <w:rFonts w:ascii="Calibri" w:hAnsi="Calibri"/>
          <w:b/>
          <w:color w:val="66727C"/>
          <w:sz w:val="21"/>
        </w:rPr>
        <w:t>Guide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lexical evidence found in published word-rating and corpus-frequency resources. Its optional concreteness and SUBTLEX-US frequency results are separate from affective constructs and from each other. VerseVAD does not discover the emotion of a poem, diagnose a speaker, recover an author's intention, or measure what an individual reader feels.</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and Zipf frequency</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and corpus-relative lexical frequency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setting </w:t>
      </w:r>
      <w:r>
        <w:rPr>
          <w:rFonts w:ascii="Calibri" w:hAnsi="Calibri"/>
          <w:b/>
          <w:sz w:val="22"/>
        </w:rPr>
        <w:t>Content words only</w:t>
      </w:r>
      <w:r>
        <w:rPr>
          <w:rFonts w:ascii="Calibri" w:hAnsi="Calibri"/>
          <w:sz w:val="22"/>
        </w:rPr>
        <w:t xml:space="preserve"> uses a narrower rule than this broad display. It includes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or corpus-relative lexical frequency;</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scope when relevant: all lexical tokens or content words only;</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frequency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sensitivity,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0.9.0.dev0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