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0.10.0.dev0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normative ratings and associations attached to matched words and phrases. Its optional concreteness, corpus-relative frequency, and retrospective Age of Acquisition modules remain separate lexical constructs. VerseVAD does not determine the emotion of a poem, speaker, author, or reader, diagnose cognition,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and </w:t>
            </w:r>
            <w:r>
              <w:rPr>
                <w:rFonts w:ascii="Calibri" w:hAnsi="Calibri"/>
                <w:b/>
                <w:color w:val="193247"/>
                <w:sz w:val="22"/>
              </w:rPr>
              <w:t>Age of Acquisition</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and Stage 4 Kuperman Age of Acquisition workbook and paper must retain their exact paths and checksums. VerseVAD reads the workbooks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and/or </w:t>
      </w:r>
      <w:r>
        <w:rPr>
          <w:rFonts w:ascii="Calibri" w:hAnsi="Calibri"/>
          <w:b/>
          <w:sz w:val="22"/>
        </w:rPr>
        <w:t>Age of Acquisition profile (Kuperman et al. ratings)</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and </w:t>
      </w:r>
      <w:r>
        <w:rPr>
          <w:rFonts w:ascii="Calibri" w:hAnsi="Calibri"/>
          <w:b/>
          <w:sz w:val="22"/>
        </w:rPr>
        <w:t>Age of Acquisition</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and Kuperman Age of Acquisition modules. VAD, categorical association, intensity, concreteness, corpus-relative frequency, and retrospective lexical AoA answer different questions and remain separate. Any optional module can run by itself when its exact local workbook is available.</w:t>
      </w:r>
    </w:p>
    <w:p>
      <w:pPr>
        <w:widowControl/>
        <w:spacing w:before="0" w:after="120" w:line="300" w:lineRule="auto"/>
      </w:pPr>
      <w:r>
        <w:rPr>
          <w:rFonts w:ascii="Calibri" w:hAnsi="Calibri"/>
          <w:sz w:val="22"/>
        </w:rPr>
        <w:t xml:space="preserve">Concreteness, Frequency, and AoA are currently temporary </w:t>
      </w:r>
      <w:r>
        <w:rPr>
          <w:rFonts w:ascii="Calibri" w:hAnsi="Calibri"/>
          <w:b/>
          <w:sz w:val="22"/>
        </w:rPr>
        <w:t>One Poem</w:t>
      </w:r>
      <w:r>
        <w:rPr>
          <w:rFonts w:ascii="Calibri" w:hAnsi="Calibri"/>
          <w:sz w:val="22"/>
        </w:rPr>
        <w:t xml:space="preserve"> modules. They are not yet batched, persisted, aggregated, or exported by </w:t>
      </w:r>
      <w:r>
        <w:rPr>
          <w:rFonts w:ascii="Calibri" w:hAnsi="Calibri"/>
          <w:b/>
          <w:sz w:val="22"/>
        </w:rPr>
        <w:t>Projects &amp; Corpus</w:t>
      </w:r>
      <w:r>
        <w:rPr>
          <w:rFonts w:ascii="Calibri" w:hAnsi="Calibri"/>
          <w:sz w:val="22"/>
        </w:rPr>
        <w:t>.</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and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poem_document.json</w:t>
      </w:r>
      <w:r>
        <w:rPr>
          <w:rFonts w:ascii="Calibri" w:hAnsi="Calibri"/>
          <w:sz w:val="22"/>
        </w:rPr>
        <w:t xml:space="preserve"> includes the original text, so protect it as research material. Concreteness, Frequency, and AoA exports retain source-row provenance but do not copy any complete research workbook.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AoA is currently an optional one-poem in-memory module; it is not yet persisted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0.10.0.dev0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