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0.10.0.dev0</w:t>
      </w:r>
      <w:r>
        <w:rPr>
          <w:color w:val="66727C"/>
          <w:sz w:val="21"/>
        </w:rPr>
        <w:br/>
      </w:r>
      <w:r>
        <w:rPr>
          <w:rFonts w:ascii="Calibri" w:hAnsi="Calibri"/>
          <w:b/>
          <w:color w:val="66727C"/>
          <w:sz w:val="21"/>
        </w:rPr>
        <w:t>Guide updated:</w:t>
      </w:r>
      <w:r>
        <w:rPr>
          <w:rFonts w:ascii="Calibri" w:hAnsi="Calibri"/>
          <w:color w:val="66727C"/>
          <w:sz w:val="21"/>
        </w:rPr>
        <w:t xml:space="preserve"> July 23,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THE CENTRAL RULE: VerseVAD describes lexical evidence found in published word-rating and corpus-frequency resources. Its optional concreteness, SUBTLEX-US frequency, and retrospective Age of Acquisition results are separate from affective constructs and from each other. VerseVAD does not discover the emotion of a poem, diagnose a speaker or cognition, recover an author's intention, or measure what an individual reader feels.</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 concreteness, Zipf frequency, and Age of Acquisition</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Stopwords and the two VAD views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Stopword sensitivity</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tc>
      </w:tr>
    </w:tbl>
    <w:p>
      <w:pPr>
        <w:widowControl/>
        <w:spacing w:before="0" w:after="40" w:line="240" w:lineRule="auto"/>
      </w:pP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emotion intensities, normative lexical concreteness, corpus-relative lexical frequency, and retrospective normative lexical Age of Acquisition are different kinds of evidence.</w:t>
      </w:r>
    </w:p>
    <w:p>
      <w:pPr>
        <w:widowControl/>
        <w:numPr>
          <w:ilvl w:val="0"/>
          <w:numId w:val="13"/>
        </w:numPr>
        <w:spacing w:before="0" w:after="80" w:line="300" w:lineRule="auto"/>
        <w:ind w:left="540" w:hanging="271"/>
      </w:pPr>
      <w:r>
        <w:rPr>
          <w:rFonts w:ascii="Calibri" w:hAnsi="Calibri"/>
          <w:b/>
          <w:sz w:val="22"/>
        </w:rPr>
        <w:t>Choose one analysis view.</w:t>
      </w:r>
      <w:r>
        <w:rPr>
          <w:rFonts w:ascii="Calibri" w:hAnsi="Calibri"/>
          <w:sz w:val="22"/>
        </w:rPr>
        <w:t xml:space="preserve"> Compare all matched observations with stopwords excluded;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analysis view, weighting, matched count, coverage, and unit of analysis.</w:t>
            </w:r>
          </w:p>
        </w:tc>
      </w:tr>
    </w:tbl>
    <w:p>
      <w:pPr>
        <w:widowControl/>
        <w:spacing w:before="0" w:after="40" w:line="240" w:lineRule="auto"/>
      </w:pP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analysis view, and weighting. It describes the center of those matched ratings. It does not summarize words that did not match, and it does not assign unmatched words a neutral value.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normalized formula</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The optional one-poem module uses the Brysbaert, Warriner, and Kuperman (2014) source's original 1-to-5 ratings. It does not normalize them into VAD or combine them with affective evidence.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Source-scale orientation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the source task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abstract or language-based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concrete or experience-based</w:t>
            </w:r>
          </w:p>
        </w:tc>
      </w:tr>
    </w:tbl>
    <w:p>
      <w:pPr>
        <w:widowControl/>
        <w:spacing w:before="0" w:after="60" w:line="240" w:lineRule="auto"/>
      </w:pPr>
    </w:p>
    <w:p>
      <w:pPr>
        <w:widowControl/>
        <w:spacing w:before="0" w:after="120" w:line="300" w:lineRule="auto"/>
      </w:pPr>
      <w:r>
        <w:rPr>
          <w:rFonts w:ascii="Calibri" w:hAnsi="Calibri"/>
          <w:sz w:val="22"/>
        </w:rPr>
        <w:t>VerseVAD reports the token-weighted mean, median, inclusive quartiles, interquartile range, and population standard deviation among rated lexical-token positions. It also reports token and unique normalized-surface-type coverage.</w:t>
      </w:r>
    </w:p>
    <w:p>
      <w:pPr>
        <w:widowControl/>
        <w:spacing w:before="0" w:after="120" w:line="300" w:lineRule="auto"/>
      </w:pPr>
      <w:r>
        <w:rPr>
          <w:rFonts w:ascii="Calibri" w:hAnsi="Calibri"/>
          <w:sz w:val="22"/>
        </w:rPr>
        <w:t>The default lower band at or below 2.0 and upper band at or above 4.0 are configurable VerseVAD orientation aids, not validated categories claimed by the paper. A source-supplied two-word expression receives one audit group, while its rating is assigned to both covered token positions for the declared token-weighted statistics. Repetition therefore matters.</w:t>
      </w:r>
    </w:p>
    <w:p>
      <w:pPr>
        <w:widowControl/>
        <w:spacing w:before="0" w:after="120" w:line="300" w:lineRule="auto"/>
      </w:pPr>
      <w:r>
        <w:rPr>
          <w:rFonts w:ascii="Calibri" w:hAnsi="Calibri"/>
          <w:sz w:val="22"/>
        </w:rPr>
        <w:t>Safe wording: “The matched tokens have a mean normative lexical concreteness of 3.7 on the source 1-5 scale, with 72% token coverage.”</w:t>
      </w:r>
    </w:p>
    <w:p>
      <w:pPr>
        <w:widowControl/>
        <w:spacing w:before="0" w:after="120" w:line="300" w:lineRule="auto"/>
      </w:pPr>
      <w:r>
        <w:rPr>
          <w:rFonts w:ascii="Calibri" w:hAnsi="Calibri"/>
          <w:sz w:val="22"/>
        </w:rPr>
        <w:t>Avoid: “The poem is concrete,” “the imagery succeeds,” or “the reader visualizes the poem.” The rating is a decontextualized lexical norm, not a contextual literary or cognitive measurement.</w:t>
      </w:r>
    </w:p>
    <w:p>
      <w:pPr>
        <w:pStyle w:val="Heading2"/>
      </w:pPr>
      <w:r>
        <w:rPr>
          <w:rFonts w:ascii="Calibri" w:hAnsi="Calibri"/>
          <w:sz w:val="22"/>
        </w:rPr>
        <w:t>SUBTLEX-US Zipf Frequency and Rarity</w:t>
      </w:r>
    </w:p>
    <w:p>
      <w:pPr>
        <w:widowControl/>
        <w:spacing w:before="0" w:after="120" w:line="300" w:lineRule="auto"/>
      </w:pPr>
      <w:r>
        <w:rPr>
          <w:rFonts w:ascii="Calibri" w:hAnsi="Calibri"/>
          <w:sz w:val="22"/>
        </w:rPr>
        <w:t xml:space="preserve">The optional one-poem frequency module uses published SUBTLEX-US word-form frequencies from an American subtitle corpus. It does not use </w:t>
      </w:r>
      <w:r>
        <w:rPr>
          <w:rFonts w:ascii="Consolas" w:hAnsi="Consolas"/>
          <w:color w:val="1F4D78"/>
          <w:sz w:val="19"/>
        </w:rPr>
        <w:t>wordfreq</w:t>
      </w:r>
      <w:r>
        <w:rPr>
          <w:rFonts w:ascii="Calibri" w:hAnsi="Calibri"/>
          <w:sz w:val="22"/>
        </w:rPr>
        <w:t>, mix corpora, or treat an absent form as zero.</w:t>
      </w:r>
    </w:p>
    <w:p>
      <w:pPr>
        <w:widowControl/>
        <w:spacing w:before="0" w:after="120" w:line="300" w:lineRule="auto"/>
      </w:pPr>
      <w:r>
        <w:rPr>
          <w:rFonts w:ascii="Calibri" w:hAnsi="Calibri"/>
          <w:sz w:val="22"/>
        </w:rPr>
        <w:t xml:space="preserve">A </w:t>
      </w:r>
      <w:r>
        <w:rPr>
          <w:rFonts w:ascii="Calibri" w:hAnsi="Calibri"/>
          <w:b/>
          <w:sz w:val="22"/>
        </w:rPr>
        <w:t>Zipf value</w:t>
      </w:r>
      <w:r>
        <w:rPr>
          <w:rFonts w:ascii="Calibri" w:hAnsi="Calibri"/>
          <w:sz w:val="22"/>
        </w:rPr>
        <w:t xml:space="preserve"> is logarithmic. Approximately one point represents a tenfold frequency difference in the source corpus. A value of 5 is therefore about ten times as frequent as 4 and about one hundred times as frequent as 3, within the same corpus and counting convention.</w:t>
      </w:r>
    </w:p>
    <w:p>
      <w:pPr>
        <w:widowControl/>
        <w:spacing w:before="0" w:after="120" w:line="300" w:lineRule="auto"/>
      </w:pPr>
      <w:r>
        <w:rPr>
          <w:rFonts w:ascii="Calibri" w:hAnsi="Calibri"/>
          <w:sz w:val="22"/>
        </w:rPr>
        <w:t>VerseVAD emphasizes the token-weighted median because a few extremely common forms can pull the arithmetic mean upward. It also reports mean, population SD, inclusive quartiles, IQR, range, coverage, configurable bands, structural/POS summaries, term rankings, and the token audit.</w:t>
      </w:r>
    </w:p>
    <w:p>
      <w:pPr>
        <w:widowControl/>
        <w:spacing w:before="0" w:after="120" w:line="300" w:lineRule="auto"/>
      </w:pPr>
      <w:r>
        <w:rPr>
          <w:rFonts w:ascii="Calibri" w:hAnsi="Calibri"/>
          <w:sz w:val="22"/>
        </w:rPr>
        <w:t>The default bands are VerseVAD orientation aids: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Zipf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Below 3</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Rare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3 to below 4</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4 to below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Moderately 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5 to below 6</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6 or above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Very common</w:t>
            </w:r>
          </w:p>
        </w:tc>
      </w:tr>
    </w:tbl>
    <w:p>
      <w:pPr>
        <w:widowControl/>
        <w:spacing w:before="0" w:after="60" w:line="240" w:lineRule="auto"/>
      </w:pPr>
    </w:p>
    <w:p>
      <w:pPr>
        <w:widowControl/>
        <w:spacing w:before="0" w:after="120" w:line="300" w:lineRule="auto"/>
      </w:pPr>
      <w:r>
        <w:rPr>
          <w:rFonts w:ascii="Calibri" w:hAnsi="Calibri"/>
          <w:sz w:val="22"/>
        </w:rPr>
        <w:t xml:space="preserve">The default scope considers all lexical tokens except model-tagged proper nouns. The optional </w:t>
      </w:r>
      <w:r>
        <w:rPr>
          <w:rFonts w:ascii="Calibri" w:hAnsi="Calibri"/>
          <w:b/>
          <w:sz w:val="22"/>
        </w:rPr>
        <w:t>Content words only</w:t>
      </w:r>
      <w:r>
        <w:rPr>
          <w:rFonts w:ascii="Calibri" w:hAnsi="Calibri"/>
          <w:sz w:val="22"/>
        </w:rPr>
        <w:t xml:space="preserve"> scope is off by default and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DET</w:t>
      </w:r>
      <w:r>
        <w:rPr>
          <w:rFonts w:ascii="Calibri" w:hAnsi="Calibri"/>
          <w:sz w:val="22"/>
        </w:rPr>
        <w:t xml:space="preserve">, </w:t>
      </w:r>
      <w:r>
        <w:rPr>
          <w:rFonts w:ascii="Consolas" w:hAnsi="Consolas"/>
          <w:color w:val="1F4D78"/>
          <w:sz w:val="19"/>
        </w:rPr>
        <w:t>ADP</w:t>
      </w:r>
      <w:r>
        <w:rPr>
          <w:rFonts w:ascii="Calibri" w:hAnsi="Calibri"/>
          <w:sz w:val="22"/>
        </w:rPr>
        <w:t xml:space="preserve">,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xml:space="preserve">, </w:t>
      </w:r>
      <w:r>
        <w:rPr>
          <w:rFonts w:ascii="Consolas" w:hAnsi="Consolas"/>
          <w:color w:val="1F4D78"/>
          <w:sz w:val="19"/>
        </w:rPr>
        <w:t>PRON</w:t>
      </w:r>
      <w:r>
        <w:rPr>
          <w:rFonts w:ascii="Calibri" w:hAnsi="Calibri"/>
          <w:sz w:val="22"/>
        </w:rPr>
        <w:t xml:space="preserve">, </w:t>
      </w:r>
      <w:r>
        <w:rPr>
          <w:rFonts w:ascii="Consolas" w:hAnsi="Consolas"/>
          <w:color w:val="1F4D78"/>
          <w:sz w:val="19"/>
        </w:rPr>
        <w:t>AUX</w:t>
      </w:r>
      <w:r>
        <w:rPr>
          <w:rFonts w:ascii="Calibri" w:hAnsi="Calibri"/>
          <w:sz w:val="22"/>
        </w:rPr>
        <w:t xml:space="preserve">, punctuation, and all other tags. This differs from the broad Language Profile, where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are grouped together under </w:t>
      </w:r>
      <w:r>
        <w:rPr>
          <w:rFonts w:ascii="Calibri" w:hAnsi="Calibri"/>
          <w:b/>
          <w:sz w:val="22"/>
        </w:rPr>
        <w:t>Verb</w:t>
      </w:r>
      <w:r>
        <w:rPr>
          <w:rFonts w:ascii="Calibri" w:hAnsi="Calibri"/>
          <w:sz w:val="22"/>
        </w:rPr>
        <w:t xml:space="preserve"> for readability.</w:t>
      </w:r>
    </w:p>
    <w:p>
      <w:pPr>
        <w:widowControl/>
        <w:spacing w:before="0" w:after="120" w:line="300" w:lineRule="auto"/>
      </w:pPr>
      <w:r>
        <w:rPr>
          <w:rFonts w:ascii="Calibri" w:hAnsi="Calibri"/>
          <w:sz w:val="22"/>
        </w:rPr>
        <w:t>Exact normalized observed word form takes priority over an enabled lemma fallback. This distinction matters because SUBTLEX-US supplies word-form frequencies. Every lemma or conservative fallback remains labeled in the audit, and unmatched values remain missing.</w:t>
      </w:r>
    </w:p>
    <w:p>
      <w:pPr>
        <w:widowControl/>
        <w:spacing w:before="0" w:after="120" w:line="300" w:lineRule="auto"/>
      </w:pPr>
      <w:r>
        <w:rPr>
          <w:rFonts w:ascii="Calibri" w:hAnsi="Calibri"/>
          <w:sz w:val="22"/>
        </w:rPr>
        <w:t>Safe wording: “The matched tokens had a median SUBTLEX-US Zipf value of 4.3, using the content-word-only scope, with 78% token coverage.”</w:t>
      </w:r>
    </w:p>
    <w:p>
      <w:pPr>
        <w:widowControl/>
        <w:spacing w:before="0" w:after="120" w:line="300" w:lineRule="auto"/>
      </w:pPr>
      <w:r>
        <w:rPr>
          <w:rFonts w:ascii="Calibri" w:hAnsi="Calibri"/>
          <w:sz w:val="22"/>
        </w:rPr>
        <w:t>Avoid: “The poem is easy,” “the vocabulary is sophisticated,” or “the reader will understand it.” Corpus-relative word frequency is not a direct measure of difficulty, accessibility, intelligence, or literary quality.</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The optional one-poem module uses the official Kuperman, Stadthagen-Gonzalez, and Brysbaert supplement. A source mean is an adult retrospective estimate of the age, in years, at which respondents believed they learned a word well enough to understand it. It is not normalized into VAD or combined into an affective score.</w:t>
      </w:r>
    </w:p>
    <w:p>
      <w:pPr>
        <w:widowControl/>
        <w:spacing w:before="0" w:after="120" w:line="300" w:lineRule="auto"/>
      </w:pPr>
      <w:r>
        <w:rPr>
          <w:rFonts w:ascii="Calibri" w:hAnsi="Calibri"/>
          <w:sz w:val="22"/>
        </w:rPr>
        <w:t>VerseVAD reports token-weighted mean, median, population SD, inclusive quartiles, IQR, range, token and unique observed-form-type coverage, configurable acquisition-orientation bands, source-response evidence, structural/POS summaries, term rankings, and the token audit.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Source-age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below 5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Early-acquired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Above 5 and below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Middle range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above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Later-acquired</w:t>
            </w:r>
          </w:p>
        </w:tc>
      </w:tr>
    </w:tbl>
    <w:p>
      <w:pPr>
        <w:widowControl/>
        <w:spacing w:before="0" w:after="60" w:line="240" w:lineRule="auto"/>
      </w:pPr>
    </w:p>
    <w:p>
      <w:pPr>
        <w:widowControl/>
        <w:spacing w:before="0" w:after="120" w:line="300" w:lineRule="auto"/>
      </w:pPr>
      <w:r>
        <w:rPr>
          <w:rFonts w:ascii="Calibri" w:hAnsi="Calibri"/>
          <w:sz w:val="22"/>
        </w:rPr>
        <w:t xml:space="preserve">These thresholds are configurable VerseVAD orientation aids, not categories validated by the source paper. A source row with </w:t>
      </w:r>
      <w:r>
        <w:rPr>
          <w:rFonts w:ascii="Consolas" w:hAnsi="Consolas"/>
          <w:color w:val="1F4D78"/>
          <w:sz w:val="19"/>
        </w:rPr>
        <w:t>Rating.Mean = NA</w:t>
      </w:r>
      <w:r>
        <w:rPr>
          <w:rFonts w:ascii="Calibri" w:hAnsi="Calibri"/>
          <w:sz w:val="22"/>
        </w:rPr>
        <w:t xml:space="preserve"> remains auditable but has no numeric age. Unmatched and ineligible forms also remain missing rather than becoming age zero.</w:t>
      </w:r>
    </w:p>
    <w:p>
      <w:pPr>
        <w:widowControl/>
        <w:spacing w:before="0" w:after="120" w:line="300" w:lineRule="auto"/>
      </w:pPr>
      <w:r>
        <w:rPr>
          <w:rFonts w:ascii="Calibri" w:hAnsi="Calibri"/>
          <w:sz w:val="22"/>
        </w:rPr>
        <w:t xml:space="preserve">The paper describes target selection from base forms used most frequently as nouns, verbs, or adjectives. The official supplement nevertheless has numeric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The optional </w:t>
      </w:r>
      <w:r>
        <w:rPr>
          <w:rFonts w:ascii="Calibri" w:hAnsi="Calibri"/>
          <w:b/>
          <w:sz w:val="22"/>
        </w:rPr>
        <w:t>AoA content words only</w:t>
      </w:r>
      <w:r>
        <w:rPr>
          <w:rFonts w:ascii="Calibri" w:hAnsi="Calibri"/>
          <w:sz w:val="22"/>
        </w:rPr>
        <w:t xml:space="preserve"> scope therefore remains meaningful and off by default. It uses the poem occurrence's contextual model tag and includes only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w:t>
      </w:r>
    </w:p>
    <w:p>
      <w:pPr>
        <w:widowControl/>
        <w:spacing w:before="0" w:after="120" w:line="300" w:lineRule="auto"/>
      </w:pPr>
      <w:r>
        <w:rPr>
          <w:rFonts w:ascii="Calibri" w:hAnsi="Calibri"/>
          <w:sz w:val="22"/>
        </w:rPr>
        <w:t>When Frequency or Concreteness is enabled too, VerseVAD can show a descriptive Spearman rank relationship after collapsing repetitions to unique paired normalized surface types. It requires at least three paired types, excludes multiword concreteness assignments, and does not establish causation.</w:t>
      </w:r>
    </w:p>
    <w:p>
      <w:pPr>
        <w:widowControl/>
        <w:spacing w:before="0" w:after="120" w:line="300" w:lineRule="auto"/>
      </w:pPr>
      <w:r>
        <w:rPr>
          <w:rFonts w:ascii="Calibri" w:hAnsi="Calibri"/>
          <w:sz w:val="22"/>
        </w:rPr>
        <w:t xml:space="preserve">For matched source ages </w:t>
      </w:r>
      <w:r>
        <w:rPr>
          <w:rFonts w:ascii="Consolas" w:hAnsi="Consolas"/>
          <w:color w:val="1F4D78"/>
          <w:sz w:val="19"/>
        </w:rPr>
        <w:t>a_i</w:t>
      </w:r>
      <w:r>
        <w:rPr>
          <w:rFonts w:ascii="Calibri" w:hAnsi="Calibri"/>
          <w:sz w:val="22"/>
        </w:rPr>
        <w:t xml:space="preserve"> across </w:t>
      </w:r>
      <w:r>
        <w:rPr>
          <w:rFonts w:ascii="Consolas" w:hAnsi="Consolas"/>
          <w:color w:val="1F4D78"/>
          <w:sz w:val="19"/>
        </w:rPr>
        <w:t>A</w:t>
      </w:r>
      <w:r>
        <w:rPr>
          <w:rFonts w:ascii="Calibri" w:hAnsi="Calibri"/>
          <w:sz w:val="22"/>
        </w:rPr>
        <w:t xml:space="preserve"> matched token positions:</w:t>
      </w:r>
    </w:p>
    <w:p>
      <w:pPr>
        <w:pStyle w:val="Formula"/>
      </w:pPr>
      <w:r>
        <w:rPr>
          <w:rFonts w:ascii="Consolas" w:hAnsi="Consolas"/>
          <w:color w:val="1F4D78"/>
          <w:sz w:val="19"/>
        </w:rPr>
        <w:t>mean_aoa = sum(a_i) / A</w:t>
      </w:r>
    </w:p>
    <w:p>
      <w:pPr>
        <w:pStyle w:val="Formula"/>
      </w:pPr>
      <w:r>
        <w:rPr>
          <w:rFonts w:ascii="Consolas" w:hAnsi="Consolas"/>
          <w:color w:val="1F4D78"/>
          <w:sz w:val="19"/>
        </w:rPr>
        <w:t>aoa_token_coverage = matched numeric eligible token positions / eligible token positions</w:t>
      </w:r>
    </w:p>
    <w:p>
      <w:pPr>
        <w:widowControl/>
        <w:spacing w:before="0" w:after="120" w:line="300" w:lineRule="auto"/>
      </w:pPr>
      <w:r>
        <w:rPr>
          <w:rFonts w:ascii="Calibri" w:hAnsi="Calibri"/>
          <w:sz w:val="22"/>
        </w:rPr>
        <w:t>For each source word:</w:t>
      </w:r>
    </w:p>
    <w:p>
      <w:pPr>
        <w:pStyle w:val="Formula"/>
      </w:pPr>
      <w:r>
        <w:rPr>
          <w:rFonts w:ascii="Consolas" w:hAnsi="Consolas"/>
          <w:color w:val="1F4D78"/>
          <w:sz w:val="19"/>
        </w:rPr>
        <w:t>numeric_response_proportion = OccurNum / OccurTotal</w:t>
      </w:r>
    </w:p>
    <w:p>
      <w:pPr>
        <w:widowControl/>
        <w:spacing w:before="0" w:after="120" w:line="300" w:lineRule="auto"/>
      </w:pPr>
      <w:r>
        <w:rPr>
          <w:rFonts w:ascii="Calibri" w:hAnsi="Calibri"/>
          <w:sz w:val="22"/>
        </w:rPr>
        <w:t>Source-response evidence describes the source norm; it does not change the poem's token weighting.</w:t>
      </w:r>
    </w:p>
    <w:p>
      <w:pPr>
        <w:widowControl/>
        <w:spacing w:before="0" w:after="120" w:line="300" w:lineRule="auto"/>
      </w:pPr>
      <w:r>
        <w:rPr>
          <w:rFonts w:ascii="Calibri" w:hAnsi="Calibri"/>
          <w:sz w:val="22"/>
        </w:rPr>
        <w:t>Safe wording: “The matched tokens had a mean retrospective normative lexical AoA of 7.2 years, with 83% token coverage.”</w:t>
      </w:r>
    </w:p>
    <w:p>
      <w:pPr>
        <w:widowControl/>
        <w:spacing w:before="0" w:after="120" w:line="300" w:lineRule="auto"/>
      </w:pPr>
      <w:r>
        <w:rPr>
          <w:rFonts w:ascii="Calibri" w:hAnsi="Calibri"/>
          <w:sz w:val="22"/>
        </w:rPr>
        <w:t>Avoid: “The poem is for seven-year-olds,” “the vocabulary is difficult,” or “the author shows cognitive decline.” Age-of-acquisition results are not grade-level, comprehension, intelligence, reader-response, or cognitive diagnostic measures.</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widowControl/>
        <w:spacing w:before="0" w:after="120" w:line="300" w:lineRule="auto"/>
      </w:pPr>
      <w:r>
        <w:rPr>
          <w:rFonts w:ascii="Calibri" w:hAnsi="Calibri"/>
          <w:sz w:val="22"/>
        </w:rPr>
        <w:t xml:space="preserve">The optional Frequency and AoA settings </w:t>
      </w:r>
      <w:r>
        <w:rPr>
          <w:rFonts w:ascii="Calibri" w:hAnsi="Calibri"/>
          <w:b/>
          <w:sz w:val="22"/>
        </w:rPr>
        <w:t>Content words only</w:t>
      </w:r>
      <w:r>
        <w:rPr>
          <w:rFonts w:ascii="Calibri" w:hAnsi="Calibri"/>
          <w:sz w:val="22"/>
        </w:rPr>
        <w:t xml:space="preserve"> use a narrower rule than this broad display. They include exact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only; </w:t>
      </w:r>
      <w:r>
        <w:rPr>
          <w:rFonts w:ascii="Consolas" w:hAnsi="Consolas"/>
          <w:color w:val="1F4D78"/>
          <w:sz w:val="19"/>
        </w:rPr>
        <w:t>AUX</w:t>
      </w:r>
      <w:r>
        <w:rPr>
          <w:rFonts w:ascii="Calibri" w:hAnsi="Calibri"/>
          <w:sz w:val="22"/>
        </w:rPr>
        <w:t xml:space="preserve"> and </w:t>
      </w:r>
      <w:r>
        <w:rPr>
          <w:rFonts w:ascii="Consolas" w:hAnsi="Consolas"/>
          <w:color w:val="1F4D78"/>
          <w:sz w:val="19"/>
        </w:rPr>
        <w:t>PROPN</w:t>
      </w:r>
      <w:r>
        <w:rPr>
          <w:rFonts w:ascii="Calibri" w:hAnsi="Calibri"/>
          <w:sz w:val="22"/>
        </w:rPr>
        <w:t xml:space="preserve"> are not automatically included. The two module settings are recorded separately. Always report which scope was used.</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Stopwords and the Two VAD Views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common function word selected for exclusion from the secondary content-focused aggregate under the active policy. Examples in general-purpose lists can include articles, prepositions, pronouns, auxiliaries, and conjunctions.</w:t>
      </w:r>
    </w:p>
    <w:p>
      <w:pPr>
        <w:widowControl/>
        <w:spacing w:before="0" w:after="120" w:line="300" w:lineRule="auto"/>
      </w:pPr>
      <w:r>
        <w:rPr>
          <w:rFonts w:ascii="Calibri" w:hAnsi="Calibri"/>
          <w:sz w:val="22"/>
        </w:rPr>
        <w:t>“Stopword” does not mean meaningless. Function words can be central to rhythm, voice, negation, syntax, deixis, and style. That is why VerseVAD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the same matches after the recorded stopword policy removes selected observations from the secondary aggregate.</w:t>
      </w:r>
    </w:p>
    <w:p>
      <w:pPr>
        <w:widowControl/>
        <w:spacing w:before="0" w:after="120" w:line="300" w:lineRule="auto"/>
      </w:pPr>
      <w:r>
        <w:rPr>
          <w:rFonts w:ascii="Calibri" w:hAnsi="Calibri"/>
          <w:sz w:val="22"/>
        </w:rPr>
        <w:t>The all-matched result is never destroyed.</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make matches to </w:t>
      </w:r>
      <w:r>
        <w:rPr>
          <w:rFonts w:ascii="Consolas" w:hAnsi="Consolas"/>
          <w:color w:val="1F4D78"/>
          <w:sz w:val="19"/>
        </w:rPr>
        <w:t>raven</w:t>
      </w:r>
      <w:r>
        <w:rPr>
          <w:rFonts w:ascii="Calibri" w:hAnsi="Calibri"/>
          <w:sz w:val="22"/>
        </w:rPr>
        <w:t xml:space="preserve"> absent from the stopword-excluded aggregate while preserving them in the all-matched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Content-Focused Coverage</w:t>
      </w:r>
    </w:p>
    <w:p>
      <w:pPr>
        <w:pStyle w:val="Formula"/>
      </w:pPr>
      <w:r>
        <w:rPr>
          <w:rFonts w:ascii="Consolas" w:hAnsi="Consolas"/>
          <w:color w:val="1F4D78"/>
          <w:sz w:val="19"/>
        </w:rPr>
        <w:t>content_coverage = matched eligible non-stopword token positions / eligible non-stopword token positions</w:t>
      </w:r>
    </w:p>
    <w:p>
      <w:pPr>
        <w:widowControl/>
        <w:spacing w:before="0" w:after="120" w:line="300" w:lineRule="auto"/>
      </w:pPr>
      <w:r>
        <w:rPr>
          <w:rFonts w:ascii="Calibri" w:hAnsi="Calibri"/>
          <w:sz w:val="22"/>
        </w:rPr>
        <w:t>Content-focused coverage belongs to the stopword-excluded view. It should not be substituted silently for ordinary coverage.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widowControl/>
        <w:spacing w:before="0" w:after="120" w:line="300" w:lineRule="auto"/>
      </w:pPr>
      <w:r>
        <w:rPr>
          <w:rFonts w:ascii="Calibri" w:hAnsi="Calibri"/>
          <w:sz w:val="22"/>
        </w:rPr>
        <w:t>For concreteness, VerseVAD applies the same mean and median definitions to the source 1-5 ratings assigned to included lexical-token positions. Empty or wholly unmatched inputs have missing aggregates, never a neutral midpoint.</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Stopword Sensitivity</w:t>
      </w:r>
    </w:p>
    <w:p>
      <w:pPr>
        <w:widowControl/>
        <w:spacing w:before="0" w:after="120" w:line="300" w:lineRule="auto"/>
      </w:pPr>
      <w:r>
        <w:rPr>
          <w:rFonts w:ascii="Calibri" w:hAnsi="Calibri"/>
          <w:b/>
          <w:sz w:val="22"/>
        </w:rPr>
        <w:t>Stopword sensitivity</w:t>
      </w:r>
      <w:r>
        <w:rPr>
          <w:rFonts w:ascii="Calibri" w:hAnsi="Calibri"/>
          <w:sz w:val="22"/>
        </w:rPr>
        <w:t xml:space="preserve"> reports how much a statistic changes when moving from all matched observations to the stopword-excluded view.</w:t>
      </w:r>
    </w:p>
    <w:p>
      <w:pPr>
        <w:pStyle w:val="Formula"/>
      </w:pPr>
      <w:r>
        <w:rPr>
          <w:rFonts w:ascii="Consolas" w:hAnsi="Consolas"/>
          <w:color w:val="1F4D78"/>
          <w:sz w:val="19"/>
        </w:rPr>
        <w:t>sensitivity = stopwords_excluded_value - all_matched_value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Sign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higher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lower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zero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That statistic changes little under this policy</w:t>
            </w:r>
          </w:p>
        </w:tc>
      </w:tr>
    </w:tbl>
    <w:p>
      <w:pPr>
        <w:widowControl/>
        <w:spacing w:before="0" w:after="60" w:line="240" w:lineRule="auto"/>
      </w:pPr>
    </w:p>
    <w:p>
      <w:pPr>
        <w:widowControl/>
        <w:spacing w:before="0" w:after="120" w:line="300" w:lineRule="auto"/>
      </w:pPr>
      <w:r>
        <w:rPr>
          <w:rFonts w:ascii="Calibri" w:hAnsi="Calibri"/>
          <w:sz w:val="22"/>
        </w:rPr>
        <w:t>Use the signed result, its absolute size, the active stopword policy, and both underlying values.</w:t>
      </w:r>
    </w:p>
    <w:p>
      <w:pPr>
        <w:widowControl/>
        <w:spacing w:before="0" w:after="120" w:line="300" w:lineRule="auto"/>
      </w:pPr>
      <w:r>
        <w:rPr>
          <w:rFonts w:ascii="Calibri" w:hAnsi="Calibri"/>
          <w:sz w:val="22"/>
        </w:rPr>
        <w:t>There is no universal threshold at which a difference becomes “robust,” “significant,” or “important.” Stopword sensitivity is a descriptive comparison, not an inferential test.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Phase 5 review tools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Where the decision applies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Stopword Sensitivity</w:t>
      </w:r>
    </w:p>
    <w:p>
      <w:pPr>
        <w:widowControl/>
        <w:spacing w:before="0" w:after="120" w:line="300" w:lineRule="auto"/>
      </w:pPr>
      <w:r>
        <w:rPr>
          <w:rFonts w:ascii="Calibri" w:hAnsi="Calibri"/>
          <w:sz w:val="22"/>
        </w:rPr>
        <w:t xml:space="preserve">Suppose all-matched token-weighted arousal is </w:t>
      </w:r>
      <w:r>
        <w:rPr>
          <w:rFonts w:ascii="Consolas" w:hAnsi="Consolas"/>
          <w:color w:val="1F4D78"/>
          <w:sz w:val="19"/>
        </w:rPr>
        <w:t>0.48</w:t>
      </w:r>
      <w:r>
        <w:rPr>
          <w:rFonts w:ascii="Calibri" w:hAnsi="Calibri"/>
          <w:sz w:val="22"/>
        </w:rPr>
        <w:t xml:space="preserve"> and stopwords-excluded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sensitivity = 0.54 - 0.48 = +0.06</w:t>
      </w:r>
    </w:p>
    <w:p>
      <w:pPr>
        <w:widowControl/>
        <w:spacing w:before="0" w:after="120" w:line="300" w:lineRule="auto"/>
      </w:pPr>
      <w:r>
        <w:rPr>
          <w:rFonts w:ascii="Calibri" w:hAnsi="Calibri"/>
          <w:sz w:val="22"/>
        </w:rPr>
        <w:t>Interpretation: under this recorded stopword policy, the content-focused arousal mean is 0.06 higher on the normalized scale. The calculation alone does not establish whether that difference is substantively important.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all-matched token-weighted mean normative valence was 0.61 across 84 included observations, with 78% lexical-token coverage. The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2"/>
      </w:pPr>
      <w:r>
        <w:rPr>
          <w:rFonts w:ascii="Calibri" w:hAnsi="Calibri"/>
          <w:sz w:val="22"/>
        </w:rPr>
        <w:t>Example G: Zipf Frequency and Scope</w:t>
      </w:r>
    </w:p>
    <w:p>
      <w:pPr>
        <w:widowControl/>
        <w:spacing w:before="0" w:after="120" w:line="300" w:lineRule="auto"/>
      </w:pPr>
      <w:r>
        <w:rPr>
          <w:rFonts w:ascii="Calibri" w:hAnsi="Calibri"/>
          <w:sz w:val="22"/>
        </w:rPr>
        <w:t xml:space="preserve">Suppose the matched token Zipf values are </w:t>
      </w:r>
      <w:r>
        <w:rPr>
          <w:rFonts w:ascii="Consolas" w:hAnsi="Consolas"/>
          <w:color w:val="1F4D78"/>
          <w:sz w:val="19"/>
        </w:rPr>
        <w:t>2, 4, 4, 5, 6</w:t>
      </w:r>
      <w:r>
        <w:rPr>
          <w:rFonts w:ascii="Calibri" w:hAnsi="Calibri"/>
          <w:sz w:val="22"/>
        </w:rPr>
        <w:t>.</w:t>
      </w:r>
    </w:p>
    <w:p>
      <w:pPr>
        <w:pStyle w:val="Formula"/>
      </w:pPr>
      <w:r>
        <w:rPr>
          <w:rFonts w:ascii="Consolas" w:hAnsi="Consolas"/>
          <w:color w:val="1F4D78"/>
          <w:sz w:val="19"/>
        </w:rPr>
        <w:t>median = 4</w:t>
      </w:r>
    </w:p>
    <w:p>
      <w:pPr>
        <w:pStyle w:val="Formula"/>
      </w:pPr>
      <w:r>
        <w:rPr>
          <w:rFonts w:ascii="Consolas" w:hAnsi="Consolas"/>
          <w:color w:val="1F4D78"/>
          <w:sz w:val="19"/>
        </w:rPr>
        <w:t>mean = (2 + 4 + 4 + 5 + 6) / 5 = 4.2</w:t>
      </w:r>
    </w:p>
    <w:p>
      <w:pPr>
        <w:widowControl/>
        <w:spacing w:before="0" w:after="120" w:line="300" w:lineRule="auto"/>
      </w:pPr>
      <w:r>
        <w:rPr>
          <w:rFonts w:ascii="Calibri" w:hAnsi="Calibri"/>
          <w:sz w:val="22"/>
        </w:rPr>
        <w:t>Interpretation: the represented token occurrences center at Zipf 4 in SUBTLEX-US, while the very common form pulls the mean slightly higher. Report coverage and whether the default or content-word-only scope supplied the denominator. Do not infer that the poem has a particular reading level.</w:t>
      </w:r>
    </w:p>
    <w:p>
      <w:pPr>
        <w:pStyle w:val="Heading2"/>
      </w:pPr>
      <w:r>
        <w:rPr>
          <w:rFonts w:ascii="Calibri" w:hAnsi="Calibri"/>
          <w:sz w:val="22"/>
        </w:rPr>
        <w:t>Example H: Age of Acquisition and Missing Values</w:t>
      </w:r>
    </w:p>
    <w:p>
      <w:pPr>
        <w:widowControl/>
        <w:spacing w:before="0" w:after="120" w:line="300" w:lineRule="auto"/>
      </w:pPr>
      <w:r>
        <w:rPr>
          <w:rFonts w:ascii="Calibri" w:hAnsi="Calibri"/>
          <w:sz w:val="22"/>
        </w:rPr>
        <w:t xml:space="preserve">Suppose the matched source mean ages are </w:t>
      </w:r>
      <w:r>
        <w:rPr>
          <w:rFonts w:ascii="Consolas" w:hAnsi="Consolas"/>
          <w:color w:val="1F4D78"/>
          <w:sz w:val="19"/>
        </w:rPr>
        <w:t>3, 3, 8, 8, 14</w:t>
      </w:r>
      <w:r>
        <w:rPr>
          <w:rFonts w:ascii="Calibri" w:hAnsi="Calibri"/>
          <w:sz w:val="22"/>
        </w:rPr>
        <w:t>, and one additional eligible token is unmatched.</w:t>
      </w:r>
    </w:p>
    <w:p>
      <w:pPr>
        <w:pStyle w:val="Formula"/>
      </w:pPr>
      <w:r>
        <w:rPr>
          <w:rFonts w:ascii="Consolas" w:hAnsi="Consolas"/>
          <w:color w:val="1F4D78"/>
          <w:sz w:val="19"/>
        </w:rPr>
        <w:t>mean = (3 + 3 + 8 + 8 + 14) / 5 = 7.2 years</w:t>
      </w:r>
    </w:p>
    <w:p>
      <w:pPr>
        <w:pStyle w:val="Formula"/>
      </w:pPr>
      <w:r>
        <w:rPr>
          <w:rFonts w:ascii="Consolas" w:hAnsi="Consolas"/>
          <w:color w:val="1F4D78"/>
          <w:sz w:val="19"/>
        </w:rPr>
        <w:t>median = 8 years</w:t>
      </w:r>
    </w:p>
    <w:p>
      <w:pPr>
        <w:pStyle w:val="Formula"/>
      </w:pPr>
      <w:r>
        <w:rPr>
          <w:rFonts w:ascii="Consolas" w:hAnsi="Consolas"/>
          <w:color w:val="1F4D78"/>
          <w:sz w:val="19"/>
        </w:rPr>
        <w:t>token coverage = 5 / 6 = approximately 83.3%</w:t>
      </w:r>
    </w:p>
    <w:p>
      <w:pPr>
        <w:widowControl/>
        <w:spacing w:before="0" w:after="120" w:line="300" w:lineRule="auto"/>
      </w:pPr>
      <w:r>
        <w:rPr>
          <w:rFonts w:ascii="Calibri" w:hAnsi="Calibri"/>
          <w:sz w:val="22"/>
        </w:rPr>
        <w:t>Using the default bands, two matched occurrences are early-acquired, two are in the middle range, and one is later-acquired. The unmatched token does not receive age zero and does not enter the mean. Report whether the default or contextual content-word-only scope supplied the denominator.</w:t>
      </w:r>
    </w:p>
    <w:p>
      <w:pPr>
        <w:widowControl/>
        <w:spacing w:before="0" w:after="120" w:line="300" w:lineRule="auto"/>
      </w:pPr>
      <w:r>
        <w:rPr>
          <w:rFonts w:ascii="Calibri" w:hAnsi="Calibri"/>
          <w:sz w:val="22"/>
        </w:rPr>
        <w:t>Interpretation: the represented token occurrences have a mean retrospective normative lexical AoA of 7.2 years in the source ratings. This is not a claim about the text's grade level, reader difficulty, or anyone's cognition.</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or research resource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emotion intensity, normative lexical concreteness, corpus-relative lexical frequency, or retrospective normative lexical Age of Acquisition;</w:t>
      </w:r>
    </w:p>
    <w:p>
      <w:pPr>
        <w:widowControl/>
        <w:numPr>
          <w:ilvl w:val="0"/>
          <w:numId w:val="10"/>
        </w:numPr>
        <w:spacing w:before="0" w:after="80" w:line="300" w:lineRule="auto"/>
        <w:ind w:left="540" w:hanging="271"/>
      </w:pPr>
      <w:r>
        <w:rPr>
          <w:rFonts w:ascii="Calibri" w:hAnsi="Calibri"/>
          <w:sz w:val="22"/>
        </w:rPr>
        <w:t>analysis view when applicable: all matched or stopwords excluded;</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Frequency or AoA scope when relevant: all lexical tokens or contextual content words only;</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or resource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[analysis view or optional-module scope when applicable]</w:t>
      </w:r>
      <w:r>
        <w:rPr>
          <w:rFonts w:ascii="Calibri" w:hAnsi="Calibri"/>
          <w:sz w:val="22"/>
        </w:rPr>
        <w:t xml:space="preserve"> and </w:t>
      </w:r>
      <w:r>
        <w:rPr>
          <w:rFonts w:ascii="Calibri" w:hAnsi="Calibri"/>
          <w:b/>
          <w:sz w:val="22"/>
        </w:rPr>
        <w:t>[weighting]</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response evidence, relationship, sensitivity, or corpus divergence]</w:t>
      </w:r>
      <w:r>
        <w:rPr>
          <w:rFonts w:ascii="Calibri" w:hAnsi="Calibri"/>
          <w:sz w:val="22"/>
        </w:rPr>
        <w:t>. The result describes matched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matched observations or stopwords 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early/middle/later VerseVAD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from abstract/language-based toward concrete/experience-based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corpus rather than a universal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source association, reported separately from eight emotions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 sensitivity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Stopwords-excluded result minus all-matched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corpus-frequency difference</w:t>
            </w:r>
          </w:p>
        </w:tc>
      </w:tr>
    </w:tbl>
    <w:p>
      <w:pPr>
        <w:widowControl/>
        <w:spacing w:before="0" w:after="60" w:line="240" w:lineRule="auto"/>
      </w:pP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CHECK: If you cannot identify the lexicon or resource, scale, view or frequency scope, weighting, denominator, coverage, and scenario behind a number, return to the result or export before interpreting it.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0.10.0.dev0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concreteness,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