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affective-lexicon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0.6.0.dev0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affective </w:t>
            </w:r>
            <w:r>
              <w:rPr>
                <w:rFonts w:ascii="Calibri" w:hAnsi="Calibri"/>
                <w:b/>
                <w:color w:val="193247"/>
                <w:sz w:val="22"/>
              </w:rPr>
              <w:t>lexical evidence</w:t>
            </w:r>
            <w:r>
              <w:rPr>
                <w:rFonts w:ascii="Calibri" w:hAnsi="Calibri"/>
                <w:color w:val="193247"/>
                <w:sz w:val="22"/>
              </w:rPr>
              <w:t>: normative ratings and associations attached to matched words and phrases. It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w:t>
            </w:r>
            <w:r>
              <w:rPr>
                <w:rFonts w:ascii="Calibri" w:hAnsi="Calibri"/>
                <w:b/>
                <w:color w:val="193247"/>
                <w:sz w:val="22"/>
              </w:rPr>
              <w:t>VAD Profile</w:t>
            </w:r>
            <w:r>
              <w:rPr>
                <w:rFonts w:ascii="Calibri" w:hAnsi="Calibri"/>
                <w:color w:val="193247"/>
                <w:sz w:val="22"/>
              </w:rPr>
              <w:t xml:space="preserve">, then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Keep both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tblHeader w:val="true"/>
        </w:trPr>
        <w:tc>
          <w:tcPr>
            <w:tcW w:type="dxa" w:w="21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Derived comparison</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Interpretive consequence</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lexicons. VAD, categorical association, and intensity resources answer different questions and remain separate.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This tab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Best use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bl>
    <w:p>
      <w:pPr>
        <w:widowControl/>
        <w:spacing w:before="0" w:after="60" w:line="240" w:lineRule="auto"/>
      </w:pPr>
    </w:p>
    <w:p>
      <w:pPr>
        <w:widowControl/>
        <w:spacing w:before="0" w:after="120" w:line="300" w:lineRule="auto"/>
      </w:pPr>
      <w:r>
        <w:rPr>
          <w:rFonts w:ascii="Calibri" w:hAnsi="Calibri"/>
          <w:sz w:val="22"/>
        </w:rPr>
        <w:t>CSV files use UTF-8 with a byte-order mark for compatibility with current Excel versions. The JSON file is the most complete structured representation;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Combined-project and work-level universal POS counts, lexical-token shares, unique types, examples, denominator, and model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Formula</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 in VerseVAD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Universal POS tag</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Coarse grammatical label such as NOUN, VERB, ADJ, or ADV generated by the installed model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source checksum, adapter version, software version, preprocessing recipe, phrase policy, stopword policy, scenario, and inclusion decisions. Completed corpus runs remain linked to preserved text versions.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abstractNum w:abstractNumId="19">
    <w:multiLevelType w:val="singleLevel"/>
    <w:lvl w:ilvl="0">
      <w:start w:val="1"/>
      <w:numFmt w:val="decimal"/>
      <w:lvlText w:val="%1."/>
      <w:lvlJc w:val="left"/>
      <w:pPr>
        <w:tabs>
          <w:tab w:val="num" w:pos="540"/>
        </w:tabs>
        <w:ind w:left="540" w:hanging="270"/>
      </w:p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affective-lexicon analysis user manual</dc:subject>
  <dc:creator>VerseVAD</dc:creator>
  <cp:keywords>VerseVAD, valence, arousal, dominance, affective lexicon,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