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0.14.0.dev0</w:t>
      </w:r>
      <w:r>
        <w:rPr>
          <w:color w:val="66727C"/>
          <w:sz w:val="21"/>
        </w:rPr>
        <w:br/>
      </w:r>
      <w:r>
        <w:rPr>
          <w:rFonts w:ascii="Calibri" w:hAnsi="Calibri"/>
          <w:b/>
          <w:color w:val="66727C"/>
          <w:sz w:val="21"/>
        </w:rPr>
        <w:t>Manual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and lexical-style counts. Concreteness, corpus-relative frequency, retrospective Age of Acquisition, pronunciation/lexical stress, meter fit, rhyme/sound evidence, lexical diversity, word length, and structural word counts remain separate constructs. VerseVAD does not determine the emotion of a poem, speaker, author, or reader, diagnose cognition, establish definitive meter or performed rhythm, or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inspect the shared record in </w:t>
            </w:r>
            <w:r>
              <w:rPr>
                <w:rFonts w:ascii="Calibri" w:hAnsi="Calibri"/>
                <w:b/>
                <w:color w:val="193247"/>
                <w:sz w:val="22"/>
              </w:rPr>
              <w:t>Language Profile</w:t>
            </w:r>
            <w:r>
              <w:rPr>
                <w:rFonts w:ascii="Calibri" w:hAnsi="Calibri"/>
                <w:color w:val="193247"/>
                <w:sz w:val="22"/>
              </w:rPr>
              <w:t xml:space="preserve">, then read the enabled evidence tabs, including </w:t>
            </w:r>
            <w:r>
              <w:rPr>
                <w:rFonts w:ascii="Calibri" w:hAnsi="Calibri"/>
                <w:b/>
                <w:color w:val="193247"/>
                <w:sz w:val="22"/>
              </w:rPr>
              <w:t>Concreteness Profile</w:t>
            </w:r>
            <w:r>
              <w:rPr>
                <w:rFonts w:ascii="Calibri" w:hAnsi="Calibri"/>
                <w:color w:val="193247"/>
                <w:sz w:val="22"/>
              </w:rPr>
              <w:t xml:space="preserve">, </w:t>
            </w:r>
            <w:r>
              <w:rPr>
                <w:rFonts w:ascii="Calibri" w:hAnsi="Calibri"/>
                <w:b/>
                <w:color w:val="193247"/>
                <w:sz w:val="22"/>
              </w:rPr>
              <w:t>Frequency &amp; Rarity</w:t>
            </w:r>
            <w:r>
              <w:rPr>
                <w:rFonts w:ascii="Calibri" w:hAnsi="Calibri"/>
                <w:color w:val="193247"/>
                <w:sz w:val="22"/>
              </w:rPr>
              <w:t xml:space="preserve">, </w:t>
            </w:r>
            <w:r>
              <w:rPr>
                <w:rFonts w:ascii="Calibri" w:hAnsi="Calibri"/>
                <w:b/>
                <w:color w:val="193247"/>
                <w:sz w:val="22"/>
              </w:rPr>
              <w:t>Age of Acquisition</w:t>
            </w:r>
            <w:r>
              <w:rPr>
                <w:rFonts w:ascii="Calibri" w:hAnsi="Calibri"/>
                <w:color w:val="193247"/>
                <w:sz w:val="22"/>
              </w:rPr>
              <w:t xml:space="preserve">, </w:t>
            </w:r>
            <w:r>
              <w:rPr>
                <w:rFonts w:ascii="Calibri" w:hAnsi="Calibri"/>
                <w:b/>
                <w:color w:val="193247"/>
                <w:sz w:val="22"/>
              </w:rPr>
              <w:t>Pronunciation &amp; Prosody</w:t>
            </w:r>
            <w:r>
              <w:rPr>
                <w:rFonts w:ascii="Calibri" w:hAnsi="Calibri"/>
                <w:color w:val="193247"/>
                <w:sz w:val="22"/>
              </w:rPr>
              <w:t xml:space="preserve">, </w:t>
            </w:r>
            <w:r>
              <w:rPr>
                <w:rFonts w:ascii="Calibri" w:hAnsi="Calibri"/>
                <w:b/>
                <w:color w:val="193247"/>
                <w:sz w:val="22"/>
              </w:rPr>
              <w:t>Meter &amp; Rhythm</w:t>
            </w:r>
            <w:r>
              <w:rPr>
                <w:rFonts w:ascii="Calibri" w:hAnsi="Calibri"/>
                <w:color w:val="193247"/>
                <w:sz w:val="22"/>
              </w:rPr>
              <w:t xml:space="preserve">, </w:t>
            </w:r>
            <w:r>
              <w:rPr>
                <w:rFonts w:ascii="Calibri" w:hAnsi="Calibri"/>
                <w:b/>
                <w:color w:val="193247"/>
                <w:sz w:val="22"/>
              </w:rPr>
              <w:t>Rhyme &amp; Sound</w:t>
            </w:r>
            <w:r>
              <w:rPr>
                <w:rFonts w:ascii="Calibri" w:hAnsi="Calibri"/>
                <w:color w:val="193247"/>
                <w:sz w:val="22"/>
              </w:rPr>
              <w:t xml:space="preserve">, and </w:t>
            </w:r>
            <w:r>
              <w:rPr>
                <w:rFonts w:ascii="Calibri" w:hAnsi="Calibri"/>
                <w:b/>
                <w:color w:val="193247"/>
                <w:sz w:val="22"/>
              </w:rPr>
              <w:t>Lexical Style</w:t>
            </w:r>
            <w:r>
              <w:rPr>
                <w:rFonts w:ascii="Calibri" w:hAnsi="Calibri"/>
                <w:color w:val="193247"/>
                <w:sz w:val="22"/>
              </w:rPr>
              <w:t xml:space="preserve"> when selected, and inspect </w:t>
            </w:r>
            <w:r>
              <w:rPr>
                <w:rFonts w:ascii="Calibri" w:hAnsi="Calibri"/>
                <w:b/>
                <w:color w:val="193247"/>
                <w:sz w:val="22"/>
              </w:rPr>
              <w:t>Evidence</w:t>
            </w:r>
            <w:r>
              <w:rPr>
                <w:rFonts w:ascii="Calibri" w:hAnsi="Calibri"/>
                <w:color w:val="193247"/>
                <w:sz w:val="22"/>
              </w:rPr>
              <w:t xml:space="preserve">.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Language Profile</w:t>
      </w:r>
      <w:r>
        <w:rPr>
          <w:rFonts w:ascii="Calibri" w:hAnsi="Calibri"/>
          <w:sz w:val="22"/>
        </w:rPr>
        <w:t>, inspect the independent grammatical profile when it is relevant to your question.</w:t>
      </w:r>
    </w:p>
    <w:p>
      <w:pPr>
        <w:widowControl/>
        <w:numPr>
          <w:ilvl w:val="0"/>
          <w:numId w:val="14"/>
        </w:numPr>
        <w:spacing w:before="0" w:after="80" w:line="300" w:lineRule="auto"/>
        <w:ind w:left="540" w:hanging="271"/>
      </w:pPr>
      <w:r>
        <w:rPr>
          <w:rFonts w:ascii="Calibri" w:hAnsi="Calibri"/>
          <w:sz w:val="22"/>
        </w:rPr>
        <w:t xml:space="preserve">If enabled, inspect the separate </w:t>
      </w:r>
      <w:r>
        <w:rPr>
          <w:rFonts w:ascii="Calibri" w:hAnsi="Calibri"/>
          <w:b/>
          <w:sz w:val="22"/>
        </w:rPr>
        <w:t>Concreteness Profile</w:t>
      </w:r>
      <w:r>
        <w:rPr>
          <w:rFonts w:ascii="Calibri" w:hAnsi="Calibri"/>
          <w:sz w:val="22"/>
        </w:rPr>
        <w:t xml:space="preserve">, </w:t>
      </w:r>
      <w:r>
        <w:rPr>
          <w:rFonts w:ascii="Calibri" w:hAnsi="Calibri"/>
          <w:b/>
          <w:sz w:val="22"/>
        </w:rPr>
        <w:t>Frequency &amp; Rarity</w:t>
      </w:r>
      <w:r>
        <w:rPr>
          <w:rFonts w:ascii="Calibri" w:hAnsi="Calibri"/>
          <w:sz w:val="22"/>
        </w:rPr>
        <w:t xml:space="preserve">, </w:t>
      </w:r>
      <w:r>
        <w:rPr>
          <w:rFonts w:ascii="Calibri" w:hAnsi="Calibri"/>
          <w:b/>
          <w:sz w:val="22"/>
        </w:rPr>
        <w:t>Age of Acquisition</w:t>
      </w:r>
      <w:r>
        <w:rPr>
          <w:rFonts w:ascii="Calibri" w:hAnsi="Calibri"/>
          <w:sz w:val="22"/>
        </w:rPr>
        <w:t xml:space="preserve">, </w:t>
      </w:r>
      <w:r>
        <w:rPr>
          <w:rFonts w:ascii="Calibri" w:hAnsi="Calibri"/>
          <w:b/>
          <w:sz w:val="22"/>
        </w:rPr>
        <w:t>Pronunciation &amp; Prosody</w:t>
      </w:r>
      <w:r>
        <w:rPr>
          <w:rFonts w:ascii="Calibri" w:hAnsi="Calibri"/>
          <w:sz w:val="22"/>
        </w:rPr>
        <w:t xml:space="preserve">, and </w:t>
      </w:r>
      <w:r>
        <w:rPr>
          <w:rFonts w:ascii="Calibri" w:hAnsi="Calibri"/>
          <w:b/>
          <w:sz w:val="22"/>
        </w:rPr>
        <w:t>Meter &amp; Rhythm</w:t>
      </w:r>
      <w:r>
        <w:rPr>
          <w:rFonts w:ascii="Calibri" w:hAnsi="Calibri"/>
          <w:sz w:val="22"/>
        </w:rPr>
        <w:t xml:space="preserve"> tabs.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affective lexicons and/or enable the optional normative lexical concreteness, SUBTLEX-US frequency, Kuperman Age of Acquisition, CMUdict pronunciation/prosody-foundation, candidate-meter, rhyme/sound, or Lexical Style modules. VAD, categorical association, intensity, concreteness, corpus-relative frequency, retrospective lexical AoA, dictionary pronunciation/lexical stress, configured meter fit, rhyme/sound evidence, and lexical diversity/word counts answer different questions and remain separate. Any optional module can run by itself; selecting meter or rhyme automatically runs its pronunciation dependency.</w:t>
      </w:r>
    </w:p>
    <w:p>
      <w:pPr>
        <w:widowControl/>
        <w:spacing w:before="0" w:after="120" w:line="300" w:lineRule="auto"/>
      </w:pPr>
      <w:r>
        <w:rPr>
          <w:rFonts w:ascii="Calibri" w:hAnsi="Calibri"/>
          <w:sz w:val="22"/>
        </w:rPr>
        <w:t xml:space="preserve">Concreteness, Frequency, AoA, Pronunciation &amp; Prosody, Meter &amp; Rhythm, Rhyme &amp; Sound, and Lexical Style are currently temporary </w:t>
      </w:r>
      <w:r>
        <w:rPr>
          <w:rFonts w:ascii="Calibri" w:hAnsi="Calibri"/>
          <w:b/>
          <w:sz w:val="22"/>
        </w:rPr>
        <w:t>One Poem</w:t>
      </w:r>
      <w:r>
        <w:rPr>
          <w:rFonts w:ascii="Calibri" w:hAnsi="Calibri"/>
          <w:sz w:val="22"/>
        </w:rPr>
        <w:t xml:space="preserve"> modules. They are not yet batched, persisted, aggregated, or exported by </w:t>
      </w:r>
      <w:r>
        <w:rPr>
          <w:rFonts w:ascii="Calibri" w:hAnsi="Calibri"/>
          <w:b/>
          <w:sz w:val="22"/>
        </w:rPr>
        <w:t>Projects &amp; Corpus</w:t>
      </w:r>
      <w:r>
        <w:rPr>
          <w:rFonts w:ascii="Calibri" w:hAnsi="Calibri"/>
          <w:sz w:val="22"/>
        </w:rPr>
        <w:t>.</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Language Profile tab</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Concreteness Profile tab</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Frequency &amp; Rarity tab</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Age of Acquisition tab</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Pronunciation &amp; Prosody tab</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Meter &amp; Rhythm tab</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pStyle w:val="Heading2"/>
      </w:pPr>
      <w:r>
        <w:rPr>
          <w:rFonts w:ascii="Calibri" w:hAnsi="Calibri"/>
          <w:sz w:val="22"/>
        </w:rPr>
        <w:t>Rhyme &amp; Sound tab</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Lexical Style tab</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Select the lexicons.</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poem_document.json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concreteness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frequency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AoA result, configuration, warnings, relationships,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5 result, source contracts, configuration, candidates,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6 configuration, line audit, fixed candidates, metrics,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7 configuration, summary, stanza/line/pair evidence, sound families, coverage,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10 configuration, summaries, distribution, audit, coverage, warnings, and provenance</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The JSON files preserve complementary machine-readable records: </w:t>
      </w:r>
      <w:r>
        <w:rPr>
          <w:rFonts w:ascii="Consolas" w:hAnsi="Consolas"/>
          <w:color w:val="1F4D78"/>
          <w:sz w:val="19"/>
        </w:rPr>
        <w:t>phase2_results.json</w:t>
      </w:r>
      <w:r>
        <w:rPr>
          <w:rFonts w:ascii="Calibri" w:hAnsi="Calibri"/>
          <w:sz w:val="22"/>
        </w:rPr>
        <w:t xml:space="preserve"> contains the complete affective analysis, </w:t>
      </w:r>
      <w:r>
        <w:rPr>
          <w:rFonts w:ascii="Consolas" w:hAnsi="Consolas"/>
          <w:color w:val="1F4D78"/>
          <w:sz w:val="19"/>
        </w:rPr>
        <w:t>poem_document.json</w:t>
      </w:r>
      <w:r>
        <w:rPr>
          <w:rFonts w:ascii="Calibri" w:hAnsi="Calibri"/>
          <w:sz w:val="22"/>
        </w:rPr>
        <w:t xml:space="preserve"> contains its shared processing representation, </w:t>
      </w:r>
      <w:r>
        <w:rPr>
          <w:rFonts w:ascii="Consolas" w:hAnsi="Consolas"/>
          <w:color w:val="1F4D78"/>
          <w:sz w:val="19"/>
        </w:rPr>
        <w:t>concreteness_result.json</w:t>
      </w:r>
      <w:r>
        <w:rPr>
          <w:rFonts w:ascii="Calibri" w:hAnsi="Calibri"/>
          <w:sz w:val="22"/>
        </w:rPr>
        <w:t xml:space="preserve"> contains the optional normative lexical concreteness result, </w:t>
      </w:r>
      <w:r>
        <w:rPr>
          <w:rFonts w:ascii="Consolas" w:hAnsi="Consolas"/>
          <w:color w:val="1F4D78"/>
          <w:sz w:val="19"/>
        </w:rPr>
        <w:t>frequency_result.json</w:t>
      </w:r>
      <w:r>
        <w:rPr>
          <w:rFonts w:ascii="Calibri" w:hAnsi="Calibri"/>
          <w:sz w:val="22"/>
        </w:rPr>
        <w:t xml:space="preserve"> contains the optional SUBTLEX-US result, </w:t>
      </w:r>
      <w:r>
        <w:rPr>
          <w:rFonts w:ascii="Consolas" w:hAnsi="Consolas"/>
          <w:color w:val="1F4D78"/>
          <w:sz w:val="19"/>
        </w:rPr>
        <w:t>aoa_result.json</w:t>
      </w:r>
      <w:r>
        <w:rPr>
          <w:rFonts w:ascii="Calibri" w:hAnsi="Calibri"/>
          <w:sz w:val="22"/>
        </w:rPr>
        <w:t xml:space="preserve"> contains the optional Kuperman result, </w:t>
      </w:r>
      <w:r>
        <w:rPr>
          <w:rFonts w:ascii="Consolas" w:hAnsi="Consolas"/>
          <w:color w:val="1F4D78"/>
          <w:sz w:val="19"/>
        </w:rPr>
        <w:t>pronunciation_result.json</w:t>
      </w:r>
      <w:r>
        <w:rPr>
          <w:rFonts w:ascii="Calibri" w:hAnsi="Calibri"/>
          <w:sz w:val="22"/>
        </w:rPr>
        <w:t xml:space="preserve"> contains every Stage 5 candidate and decision, </w:t>
      </w:r>
      <w:r>
        <w:rPr>
          <w:rFonts w:ascii="Consolas" w:hAnsi="Consolas"/>
          <w:color w:val="1F4D78"/>
          <w:sz w:val="19"/>
        </w:rPr>
        <w:t>meter_result.json</w:t>
      </w:r>
      <w:r>
        <w:rPr>
          <w:rFonts w:ascii="Calibri" w:hAnsi="Calibri"/>
          <w:sz w:val="22"/>
        </w:rPr>
        <w:t xml:space="preserve"> contains every Stage 6 line, fixed candidate, and method record, </w:t>
      </w:r>
      <w:r>
        <w:rPr>
          <w:rFonts w:ascii="Consolas" w:hAnsi="Consolas"/>
          <w:color w:val="1F4D78"/>
          <w:sz w:val="19"/>
        </w:rPr>
        <w:t>rhyme_result.json</w:t>
      </w:r>
      <w:r>
        <w:rPr>
          <w:rFonts w:ascii="Calibri" w:hAnsi="Calibri"/>
          <w:sz w:val="22"/>
        </w:rPr>
        <w:t xml:space="preserve"> contains every Stage 7 stanza, line, pair, sound-family, and method record, and </w:t>
      </w:r>
      <w:r>
        <w:rPr>
          <w:rFonts w:ascii="Consolas" w:hAnsi="Consolas"/>
          <w:color w:val="1F4D78"/>
          <w:sz w:val="19"/>
        </w:rPr>
        <w:t>lexical_style_result.json</w:t>
      </w:r>
      <w:r>
        <w:rPr>
          <w:rFonts w:ascii="Calibri" w:hAnsi="Calibri"/>
          <w:sz w:val="22"/>
        </w:rPr>
        <w:t xml:space="preserve"> contains every narrowed Stage 10 configuration, diversity/length summary, structural count, and token decision. </w:t>
      </w:r>
      <w:r>
        <w:rPr>
          <w:rFonts w:ascii="Consolas" w:hAnsi="Consolas"/>
          <w:color w:val="1F4D78"/>
          <w:sz w:val="19"/>
        </w:rPr>
        <w:t>poem_document.json</w:t>
      </w:r>
      <w:r>
        <w:rPr>
          <w:rFonts w:ascii="Calibri" w:hAnsi="Calibri"/>
          <w:sz w:val="22"/>
        </w:rPr>
        <w:t xml:space="preserve"> includes the original text, so protect it as research material. Optional module exports retain poem-specific provenance but do not copy any complete research source.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combined-project/work-level POS counts, lexical-token shares, unique types, examples, denominator, and model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Concreteness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Frequency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AoA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Pronunciation &amp; Prosody is currently an optional one-poem in-memory module;</w:t>
      </w:r>
    </w:p>
    <w:p>
      <w:pPr>
        <w:widowControl/>
        <w:spacing w:before="0" w:after="120" w:line="300" w:lineRule="auto"/>
      </w:pPr>
      <w:r>
        <w:rPr>
          <w:rFonts w:ascii="Calibri" w:hAnsi="Calibri"/>
          <w:sz w:val="22"/>
        </w:rPr>
        <w:t xml:space="preserve">  it is not yet persisted in corpus projects.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Meter &amp; Rhythm is currently an optional one-poem in-memory module; it is not</w:t>
      </w:r>
    </w:p>
    <w:p>
      <w:pPr>
        <w:widowControl/>
        <w:spacing w:before="0" w:after="120" w:line="300" w:lineRule="auto"/>
      </w:pPr>
      <w:r>
        <w:rPr>
          <w:rFonts w:ascii="Calibri" w:hAnsi="Calibri"/>
          <w:sz w:val="22"/>
        </w:rPr>
        <w:t xml:space="preserve">  yet persisted or aggregated in corpus projects.</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Rhyme &amp; Sound is currently an optional one-poem in-memory module; it is not</w:t>
      </w:r>
    </w:p>
    <w:p>
      <w:pPr>
        <w:widowControl/>
        <w:spacing w:before="0" w:after="120" w:line="300" w:lineRule="auto"/>
      </w:pPr>
      <w:r>
        <w:rPr>
          <w:rFonts w:ascii="Calibri" w:hAnsi="Calibri"/>
          <w:sz w:val="22"/>
        </w:rPr>
        <w:t xml:space="preserve">  yet persisted or aggregated in corpus projects.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0.14.0.dev0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