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27,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PoetryID candidate lexical-affective neighborhoods, and inherited-form resemblance.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appearance;</w:t>
      </w:r>
    </w:p>
    <w:p>
      <w:pPr>
        <w:widowControl/>
        <w:numPr>
          <w:ilvl w:val="0"/>
          <w:numId w:val="10"/>
        </w:numPr>
        <w:spacing w:before="0" w:after="80" w:line="300" w:lineRule="auto"/>
        <w:ind w:left="540" w:hanging="271"/>
      </w:pPr>
      <w:r>
        <w:rPr>
          <w:rFonts w:ascii="Calibri" w:hAnsi="Calibri"/>
          <w:sz w:val="22"/>
        </w:rPr>
        <w:t>settings and help access.</w:t>
      </w:r>
    </w:p>
    <w:p>
      <w:pPr>
        <w:widowControl/>
        <w:spacing w:before="0" w:after="120" w:line="300" w:lineRule="auto"/>
      </w:pPr>
      <w:r>
        <w:rPr>
          <w:rFonts w:ascii="Calibri" w:hAnsi="Calibri"/>
          <w:sz w:val="22"/>
        </w:rPr>
        <w:t>System appearance follows the browser or operating-system preference.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and Intensity section</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Age of Acquisition section</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