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26,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and PoetryID candidate lexical-affective neighborhoods. Concreteness, corpus-relative frequency, retrospective Age of Acquisition, pronunciation/lexical stress, meter fit, rhyme/sound evidence, lexical diversity, word length, structural word counts, and PoetryID remain separately documented constructs. VerseVAD does not determine the emotion of a poem, speaker, author, or reader, diagnose cognition, establish definitive meter or performed rhythm,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and Rhyme &amp; Sound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labels the temporary session but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or PoetryID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answer different questions and remain separate. PoetryID requires an enabled VAD source and reuses its completed result; selecting meter or rhyme automatically runs its pronunciation dependency.</w:t>
      </w:r>
    </w:p>
    <w:p>
      <w:pPr>
        <w:widowControl/>
        <w:spacing w:before="0" w:after="120" w:line="300" w:lineRule="auto"/>
      </w:pPr>
      <w:r>
        <w:rPr>
          <w:rFonts w:ascii="Calibri" w:hAnsi="Calibri"/>
          <w:sz w:val="22"/>
        </w:rPr>
        <w:t xml:space="preserve">The same eight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Single-text results are temporary, so download anything you need before closing the application.</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