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concreteness workbook and paper, SUBTLEX-US workbook, Kuperman Age of Acquisition workbook and paper, and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from </w:t>
      </w:r>
      <w:r>
        <w:rPr>
          <w:rFonts w:ascii="Consolas" w:hAnsi="Consolas"/>
          <w:color w:val="1F4D78"/>
          <w:sz w:val="19"/>
        </w:rPr>
        <w:t>https://github.com/VerseVAD/VerseVAD</w:t>
      </w:r>
      <w:r>
        <w:rPr>
          <w:rFonts w:ascii="Calibri" w:hAnsi="Calibri"/>
          <w:sz w:val="22"/>
        </w:rPr>
        <w:t xml:space="preserve">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sz w:val="22"/>
        </w:rPr>
        <w:t xml:space="preserve">Saved Projects and Personal Corpus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pronunciation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pronunciation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fixed-candidate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pronunciation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scholar pronunciation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pronunciation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dictionary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pronunciation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Review scenarios let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Pronunciation review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Candidate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Rhyme and recurring-sound evidence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rhyme and recurring-sound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An inherited-form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