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affective-lexicon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0.5.0.dev0</w:t>
      </w:r>
      <w:r>
        <w:rPr>
          <w:color w:val="66727C"/>
          <w:sz w:val="21"/>
        </w:rPr>
        <w:br/>
      </w:r>
      <w:r>
        <w:rPr>
          <w:rFonts w:ascii="Calibri" w:hAnsi="Calibri"/>
          <w:b/>
          <w:color w:val="66727C"/>
          <w:sz w:val="21"/>
        </w:rPr>
        <w:t>Manual updated:</w:t>
      </w:r>
      <w:r>
        <w:rPr>
          <w:rFonts w:ascii="Calibri" w:hAnsi="Calibri"/>
          <w:color w:val="66727C"/>
          <w:sz w:val="21"/>
        </w:rPr>
        <w:t xml:space="preserve"> July 22, 2026</w:t>
      </w:r>
      <w:r>
        <w:rPr>
          <w:color w:val="66727C"/>
          <w:sz w:val="21"/>
        </w:rPr>
        <w:br/>
      </w:r>
      <w:r>
        <w:rPr>
          <w:rFonts w:ascii="Calibri" w:hAnsi="Calibri"/>
          <w:b/>
          <w:color w:val="66727C"/>
          <w:sz w:val="21"/>
        </w:rPr>
        <w:t>Intended reader:</w:t>
      </w:r>
      <w:r>
        <w:rPr>
          <w:rFonts w:ascii="Calibri" w:hAnsi="Calibri"/>
          <w:color w:val="66727C"/>
          <w:sz w:val="21"/>
        </w:rPr>
        <w:t xml:space="preserve"> A humanities scholar who does not need to be a programmer</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affective </w:t>
            </w:r>
            <w:r>
              <w:rPr>
                <w:rFonts w:ascii="Calibri" w:hAnsi="Calibri"/>
                <w:b/>
                <w:color w:val="193247"/>
                <w:sz w:val="22"/>
              </w:rPr>
              <w:t>lexical evidence</w:t>
            </w:r>
            <w:r>
              <w:rPr>
                <w:rFonts w:ascii="Calibri" w:hAnsi="Calibri"/>
                <w:color w:val="193247"/>
                <w:sz w:val="22"/>
              </w:rPr>
              <w:t>: normative ratings and associations attached to matched words and phrases. It does not determine the emotion of a poem, speaker, author, or reader, and it does not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w:t>
            </w:r>
            <w:r>
              <w:rPr>
                <w:rFonts w:ascii="Calibri" w:hAnsi="Calibri"/>
                <w:b/>
                <w:color w:val="193247"/>
                <w:sz w:val="22"/>
              </w:rPr>
              <w:t>VAD profile</w:t>
            </w:r>
            <w:r>
              <w:rPr>
                <w:rFonts w:ascii="Calibri" w:hAnsi="Calibri"/>
                <w:color w:val="193247"/>
                <w:sz w:val="22"/>
              </w:rPr>
              <w:t xml:space="preserve">, then inspect </w:t>
            </w:r>
            <w:r>
              <w:rPr>
                <w:rFonts w:ascii="Calibri" w:hAnsi="Calibri"/>
                <w:b/>
                <w:color w:val="193247"/>
                <w:sz w:val="22"/>
              </w:rPr>
              <w:t>Evidence</w:t>
            </w:r>
            <w:r>
              <w:rPr>
                <w:rFonts w:ascii="Calibri" w:hAnsi="Calibri"/>
                <w:color w:val="193247"/>
                <w:sz w:val="22"/>
              </w:rPr>
              <w:t>. Download the readable summary for ordinary review and the full audit bundle when you need reproducibility.</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Keep both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tblHeader w:val="true"/>
        </w:trPr>
        <w:tc>
          <w:tcPr>
            <w:tcW w:type="dxa" w:w="21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Derived comparison</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as exact, auditable phrase candidates at the user's request. NRC VAD v1 remains word-level under its conservative default.</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tblHeader w:val="true"/>
        </w:trPr>
        <w:tc>
          <w:tcPr>
            <w:tcW w:type="dxa" w:w="22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Interpretive consequence</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Emotion associations</w:t>
      </w:r>
    </w:p>
    <w:p>
      <w:pPr>
        <w:widowControl/>
        <w:spacing w:before="0" w:after="120" w:line="300" w:lineRule="auto"/>
      </w:pPr>
      <w:r>
        <w:rPr>
          <w:rFonts w:ascii="Calibri" w:hAnsi="Calibri"/>
          <w:sz w:val="22"/>
        </w:rPr>
        <w:t>NRC Emotion values are binary, multi-label associations. An entry can be associated with several categories, so percentages do not need to total 100 percent. Read the labeled denominator. The categories are anger, anticipation, disgust, fear, joy, sadness, surprise, trust, negative, and positive.</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lexicons. VAD, categorical association, and intensity resources answer different questions and remain separate.</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Categorical emotion associations and numeric emotion intensities appear in separate sections. Do not compare their values as though they were alternate VAD scales.</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Select the lexicons.</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Under </w:t>
      </w:r>
      <w:r>
        <w:rPr>
          <w:rFonts w:ascii="Calibri" w:hAnsi="Calibri"/>
          <w:b/>
          <w:sz w:val="22"/>
        </w:rPr>
        <w:t>Unmatched QC</w:t>
      </w:r>
      <w:r>
        <w:rPr>
          <w:rFonts w:ascii="Calibri" w:hAnsi="Calibri"/>
          <w:sz w:val="22"/>
        </w:rPr>
        <w:t>, select a work/lexicon/form observation and record:</w:t>
      </w:r>
    </w:p>
    <w:p>
      <w:pPr>
        <w:widowControl/>
        <w:numPr>
          <w:ilvl w:val="0"/>
          <w:numId w:val="10"/>
        </w:numPr>
        <w:spacing w:before="0" w:after="80" w:line="300" w:lineRule="auto"/>
        <w:ind w:left="540" w:hanging="271"/>
      </w:pPr>
      <w:r>
        <w:rPr>
          <w:rFonts w:ascii="Calibri" w:hAnsi="Calibri"/>
          <w:sz w:val="22"/>
        </w:rPr>
        <w:t>review status;</w:t>
      </w:r>
    </w:p>
    <w:p>
      <w:pPr>
        <w:widowControl/>
        <w:numPr>
          <w:ilvl w:val="0"/>
          <w:numId w:val="10"/>
        </w:numPr>
        <w:spacing w:before="0" w:after="80" w:line="300" w:lineRule="auto"/>
        <w:ind w:left="540" w:hanging="271"/>
      </w:pPr>
      <w:r>
        <w:rPr>
          <w:rFonts w:ascii="Calibri" w:hAnsi="Calibri"/>
          <w:sz w:val="22"/>
        </w:rPr>
        <w:t>research note;</w:t>
      </w:r>
    </w:p>
    <w:p>
      <w:pPr>
        <w:widowControl/>
        <w:numPr>
          <w:ilvl w:val="0"/>
          <w:numId w:val="10"/>
        </w:numPr>
        <w:spacing w:before="0" w:after="80" w:line="300" w:lineRule="auto"/>
        <w:ind w:left="540" w:hanging="271"/>
      </w:pPr>
      <w:r>
        <w:rPr>
          <w:rFonts w:ascii="Calibri" w:hAnsi="Calibri"/>
          <w:sz w:val="22"/>
        </w:rPr>
        <w:t>possible mapping.</w:t>
      </w:r>
    </w:p>
    <w:p>
      <w:pPr>
        <w:widowControl/>
        <w:spacing w:before="0" w:after="120" w:line="300" w:lineRule="auto"/>
      </w:pPr>
      <w:r>
        <w:rPr>
          <w:rFonts w:ascii="Calibri" w:hAnsi="Calibri"/>
          <w:sz w:val="22"/>
        </w:rPr>
        <w:t>These notes persist locally but do not alter completed analysis results. A proposed mapping is documentation only until a future scenario-controlled review system applies it explicitly.</w:t>
      </w:r>
    </w:p>
    <w:p>
      <w:pPr>
        <w:pStyle w:val="Heading2"/>
      </w:pPr>
      <w:r>
        <w:rPr>
          <w:rFonts w:ascii="Calibri" w:hAnsi="Calibri"/>
          <w:sz w:val="22"/>
        </w:rPr>
        <w:t>Excel export</w:t>
      </w:r>
    </w:p>
    <w:p>
      <w:pPr>
        <w:widowControl/>
        <w:spacing w:before="0" w:after="120" w:line="300" w:lineRule="auto"/>
      </w:pPr>
      <w:r>
        <w:rPr>
          <w:rFonts w:ascii="Calibri" w:hAnsi="Calibri"/>
          <w:sz w:val="22"/>
        </w:rPr>
        <w:t>After a complete batch, download the corpus workbook. It includes a reading guide, both collection weighting views, both stopword views, work-level data, cumulative totals, coverage/emotion data, unmatched notes, text/version provenance, and the stopword methodology.</w:t>
      </w:r>
    </w:p>
    <w:p>
      <w:pPr>
        <w:pStyle w:val="Heading2"/>
      </w:pPr>
      <w:r>
        <w:rPr>
          <w:rFonts w:ascii="Calibri" w:hAnsi="Calibri"/>
          <w:sz w:val="22"/>
        </w:rPr>
        <w:t>Delete a project</w:t>
      </w:r>
    </w:p>
    <w:p>
      <w:pPr>
        <w:widowControl/>
        <w:numPr>
          <w:ilvl w:val="0"/>
          <w:numId w:val="18"/>
        </w:numPr>
        <w:spacing w:before="0" w:after="80" w:line="300" w:lineRule="auto"/>
        <w:ind w:left="540" w:hanging="271"/>
      </w:pPr>
      <w:r>
        <w:rPr>
          <w:rFonts w:ascii="Calibri" w:hAnsi="Calibri"/>
          <w:sz w:val="22"/>
        </w:rPr>
        <w:t>Select the project.</w:t>
      </w:r>
    </w:p>
    <w:p>
      <w:pPr>
        <w:widowControl/>
        <w:numPr>
          <w:ilvl w:val="0"/>
          <w:numId w:val="18"/>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Read the permanent-deletion warning.</w:t>
      </w:r>
    </w:p>
    <w:p>
      <w:pPr>
        <w:widowControl/>
        <w:numPr>
          <w:ilvl w:val="0"/>
          <w:numId w:val="18"/>
        </w:numPr>
        <w:spacing w:before="0" w:after="80" w:line="300" w:lineRule="auto"/>
        <w:ind w:left="540" w:hanging="271"/>
      </w:pPr>
      <w:r>
        <w:rPr>
          <w:rFonts w:ascii="Calibri" w:hAnsi="Calibri"/>
          <w:sz w:val="22"/>
        </w:rPr>
        <w:t>Type the project title exactly, including capitalization.</w:t>
      </w:r>
    </w:p>
    <w:p>
      <w:pPr>
        <w:widowControl/>
        <w:numPr>
          <w:ilvl w:val="0"/>
          <w:numId w:val="18"/>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Enter one word or phrase.</w:t>
      </w:r>
    </w:p>
    <w:p>
      <w:pPr>
        <w:widowControl/>
        <w:numPr>
          <w:ilvl w:val="0"/>
          <w:numId w:val="19"/>
        </w:numPr>
        <w:spacing w:before="0" w:after="80" w:line="300" w:lineRule="auto"/>
        <w:ind w:left="540" w:hanging="271"/>
      </w:pPr>
      <w:r>
        <w:rPr>
          <w:rFonts w:ascii="Calibri" w:hAnsi="Calibri"/>
          <w:sz w:val="22"/>
        </w:rPr>
        <w:t>Optionally enter a user-supplied mapping.</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Best use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tblHeader w:val="true"/>
        </w:trPr>
        <w:tc>
          <w:tcPr>
            <w:tcW w:type="dxa" w:w="36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Category counts, rates, denominators, and contributors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bl>
    <w:p>
      <w:pPr>
        <w:widowControl/>
        <w:spacing w:before="0" w:after="60" w:line="240" w:lineRule="auto"/>
      </w:pPr>
    </w:p>
    <w:p>
      <w:pPr>
        <w:widowControl/>
        <w:spacing w:before="0" w:after="120" w:line="300" w:lineRule="auto"/>
      </w:pPr>
      <w:r>
        <w:rPr>
          <w:rFonts w:ascii="Calibri" w:hAnsi="Calibri"/>
          <w:sz w:val="22"/>
        </w:rPr>
        <w:t>CSV files use UTF-8 with a byte-order mark for compatibility with current Excel versions. The JSON file is the most complete structured representation;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Contents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Coverage plus source-specific emotion metrics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Formula</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Term</w:t>
            </w:r>
          </w:p>
        </w:tc>
        <w:tc>
          <w:tcPr>
            <w:tcW w:type="dxa" w:w="6660"/>
            <w:vAlign w:val="center"/>
            <w:tcMar>
              <w:top w:w="80" w:type="dxa"/>
              <w:bottom w:w="80" w:type="dxa"/>
              <w:start w:w="120" w:type="dxa"/>
              <w:end w:w="120" w:type="dxa"/>
            </w:tcMar>
            <w:shd w:fill="E8EEF5"/>
          </w:tcPr>
          <w:p>
            <w:pPr>
              <w:widowControl/>
              <w:spacing w:before="0" w:after="0" w:line="252" w:lineRule="auto"/>
            </w:pPr>
            <w:r>
              <w:rPr>
                <w:b/>
                <w:color w:val="193247"/>
              </w:rPr>
            </w:r>
            <w:r>
              <w:rPr>
                <w:rFonts w:ascii="Calibri" w:hAnsi="Calibri"/>
                <w:b/>
                <w:color w:val="193247"/>
                <w:sz w:val="18"/>
              </w:rPr>
              <w:t>Meaning in VerseVAD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Quality-control mapping notes do not yet alter future analyses.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source checksum, adapter version, software version, preprocessing recipe, phrase policy, stopword policy, scenario, and inclusion decisions. Completed corpus runs remain linked to preserved text versions.</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0.5.0.dev0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abstractNum w:abstractNumId="15">
    <w:multiLevelType w:val="singleLevel"/>
    <w:lvl w:ilvl="0">
      <w:start w:val="1"/>
      <w:numFmt w:val="decimal"/>
      <w:lvlText w:val="%1."/>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abstractNum w:abstractNumId="17">
    <w:multiLevelType w:val="singleLevel"/>
    <w:lvl w:ilvl="0">
      <w:start w:val="1"/>
      <w:numFmt w:val="decimal"/>
      <w:lvlText w:val="%1."/>
      <w:lvlJc w:val="left"/>
      <w:pPr>
        <w:tabs>
          <w:tab w:val="num" w:pos="540"/>
        </w:tabs>
        <w:ind w:left="540" w:hanging="270"/>
      </w:pPr>
    </w:lvl>
  </w:abstractNum>
  <w:num w:numId="18">
    <w:abstractNumId w:val="17"/>
  </w:num>
  <w:abstractNum w:abstractNumId="18">
    <w:multiLevelType w:val="singleLevel"/>
    <w:lvl w:ilvl="0">
      <w:start w:val="1"/>
      <w:numFmt w:val="decimal"/>
      <w:lvlText w:val="%1."/>
      <w:lvlJc w:val="left"/>
      <w:pPr>
        <w:tabs>
          <w:tab w:val="num" w:pos="540"/>
        </w:tabs>
        <w:ind w:left="540" w:hanging="270"/>
      </w:pPr>
    </w:lvl>
  </w:abstract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affective-lexicon analysis user manual</dc:subject>
  <dc:creator>VerseVAD</dc:creator>
  <cp:keywords>VerseVAD, valence, arousal, dominance, affective lexicon,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