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25,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 xml:space="preserve">Setup is project-local. It does not require administrator access or a system-wide Python installation. If the </w:t>
      </w:r>
      <w:r>
        <w:rPr>
          <w:rFonts w:ascii="Consolas" w:hAnsi="Consolas"/>
          <w:color w:val="1F4D78"/>
          <w:sz w:val="19"/>
        </w:rPr>
        <w:t>VerseVAD</w:t>
      </w:r>
      <w:r>
        <w:rPr>
          <w:rFonts w:ascii="Calibri" w:hAnsi="Calibri"/>
          <w:sz w:val="22"/>
        </w:rPr>
        <w:t xml:space="preserve"> folder is moved or renamed, rerun </w:t>
      </w:r>
      <w:r>
        <w:rPr>
          <w:rFonts w:ascii="Consolas" w:hAnsi="Consolas"/>
          <w:color w:val="1F4D78"/>
          <w:sz w:val="19"/>
        </w:rPr>
        <w:t>setup_windows.bat</w:t>
      </w:r>
      <w:r>
        <w:rPr>
          <w:rFonts w:ascii="Calibri" w:hAnsi="Calibri"/>
          <w:sz w:val="22"/>
        </w:rPr>
        <w:t xml:space="preserve">.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profiles,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records and token-/work-weighted collection profiles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