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0.17.0.dev0</w:t>
      </w:r>
      <w:r>
        <w:rPr>
          <w:color w:val="66727C"/>
          <w:sz w:val="21"/>
        </w:rPr>
        <w:br/>
      </w:r>
      <w:r>
        <w:rPr>
          <w:rFonts w:ascii="Calibri" w:hAnsi="Calibri"/>
          <w:b/>
          <w:color w:val="66727C"/>
          <w:sz w:val="21"/>
        </w:rPr>
        <w:t>Manual updated:</w:t>
      </w:r>
      <w:r>
        <w:rPr>
          <w:rFonts w:ascii="Calibri" w:hAnsi="Calibri"/>
          <w:color w:val="66727C"/>
          <w:sz w:val="21"/>
        </w:rPr>
        <w:t xml:space="preserve"> July 24,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optional dictionary-based pronunciation evidence, transparent candidate-meter comparisons, phonological patterns, lexical-style counts, and PoetryID candidate lexical-affective neighborhoods. Concreteness, corpus-relative frequency, retrospective Age of Acquisition, pronunciation/lexical stress, meter fit, rhyme/sound evidence, lexical diversity, word length, structural word counts, and PoetryID remain separately documented constructs. VerseVAD does not determine the emotion of a poem, speaker, author, or reader, diagnose cognition, establish definitive meter or performed rhythm, or replace contextual close reading.</w:t>
            </w:r>
          </w:p>
        </w:tc>
      </w:tr>
    </w:tbl>
    <w:p>
      <w:pPr>
        <w:widowControl/>
        <w:spacing w:before="0" w:after="40" w:line="240" w:lineRule="auto"/>
      </w:pP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tc>
      </w:tr>
    </w:tbl>
    <w:p>
      <w:pPr>
        <w:widowControl/>
        <w:spacing w:before="0" w:after="40" w:line="240" w:lineRule="auto"/>
      </w:pP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ChatGPT, OpenAI, or another external service. Once the local environment is installed, ordinary analysis does not require a ChatGPT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ANEW VAD Study</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Double-click </w:t>
      </w:r>
      <w:r>
        <w:rPr>
          <w:rFonts w:ascii="Consolas" w:hAnsi="Consolas"/>
          <w:color w:val="1F4D78"/>
          <w:sz w:val="19"/>
        </w:rPr>
        <w:t>setup_windows.bat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the setup window to finish. The first setup can use the internet to obtain the pinned local runtime and packages.</w:t>
      </w:r>
    </w:p>
    <w:p>
      <w:pPr>
        <w:widowControl/>
        <w:numPr>
          <w:ilvl w:val="0"/>
          <w:numId w:val="12"/>
        </w:numPr>
        <w:spacing w:before="0" w:after="80" w:line="300" w:lineRule="auto"/>
        <w:ind w:left="540" w:hanging="271"/>
      </w:pPr>
      <w:r>
        <w:rPr>
          <w:rFonts w:ascii="Calibri" w:hAnsi="Calibri"/>
          <w:sz w:val="22"/>
        </w:rPr>
        <w:t xml:space="preserve">Confirm that the diagnostic lines end in </w:t>
      </w:r>
      <w:r>
        <w:rPr>
          <w:rFonts w:ascii="Consolas" w:hAnsi="Consolas"/>
          <w:color w:val="1F4D78"/>
          <w:sz w:val="19"/>
        </w:rPr>
        <w:t>PASS</w:t>
      </w:r>
      <w:r>
        <w:rPr>
          <w:rFonts w:ascii="Calibri" w:hAnsi="Calibri"/>
          <w:sz w:val="22"/>
        </w:rPr>
        <w:t xml:space="preserve"> and the setup reports that all checks passed.</w:t>
      </w:r>
    </w:p>
    <w:p>
      <w:pPr>
        <w:widowControl/>
        <w:numPr>
          <w:ilvl w:val="0"/>
          <w:numId w:val="12"/>
        </w:numPr>
        <w:spacing w:before="0" w:after="80" w:line="300" w:lineRule="auto"/>
        <w:ind w:left="540" w:hanging="271"/>
      </w:pPr>
      <w:r>
        <w:rPr>
          <w:rFonts w:ascii="Calibri" w:hAnsi="Calibri"/>
          <w:sz w:val="22"/>
        </w:rPr>
        <w:t>Press a key if the setup window asks you to do so.</w:t>
      </w:r>
    </w:p>
    <w:p>
      <w:pPr>
        <w:widowControl/>
        <w:spacing w:before="0" w:after="120" w:line="300" w:lineRule="auto"/>
      </w:pPr>
      <w:r>
        <w:rPr>
          <w:rFonts w:ascii="Calibri" w:hAnsi="Calibri"/>
          <w:sz w:val="22"/>
        </w:rPr>
        <w:t>Setup is project-local. It does not require administrator access or a system-wide Python installation.</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Double-click </w:t>
      </w:r>
      <w:r>
        <w:rPr>
          <w:rFonts w:ascii="Consolas" w:hAnsi="Consolas"/>
          <w:color w:val="1F4D78"/>
          <w:sz w:val="19"/>
        </w:rPr>
        <w:t>start_versevad.bat</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contains:</w:t>
      </w:r>
    </w:p>
    <w:p>
      <w:pPr>
        <w:widowControl/>
        <w:numPr>
          <w:ilvl w:val="0"/>
          <w:numId w:val="10"/>
        </w:numPr>
        <w:spacing w:before="0" w:after="80" w:line="300" w:lineRule="auto"/>
        <w:ind w:left="540" w:hanging="271"/>
      </w:pPr>
      <w:r>
        <w:rPr>
          <w:rFonts w:ascii="Calibri" w:hAnsi="Calibri"/>
          <w:b/>
          <w:sz w:val="22"/>
        </w:rPr>
        <w:t>Single Poem</w:t>
      </w:r>
    </w:p>
    <w:p>
      <w:pPr>
        <w:widowControl/>
        <w:numPr>
          <w:ilvl w:val="0"/>
          <w:numId w:val="10"/>
        </w:numPr>
        <w:spacing w:before="0" w:after="80" w:line="300" w:lineRule="auto"/>
        <w:ind w:left="540" w:hanging="271"/>
      </w:pPr>
      <w:r>
        <w:rPr>
          <w:rFonts w:ascii="Calibri" w:hAnsi="Calibri"/>
          <w:b/>
          <w:sz w:val="22"/>
        </w:rPr>
        <w:t>Project / Corpus</w:t>
      </w:r>
    </w:p>
    <w:p>
      <w:pPr>
        <w:widowControl/>
        <w:numPr>
          <w:ilvl w:val="0"/>
          <w:numId w:val="10"/>
        </w:numPr>
        <w:spacing w:before="0" w:after="80" w:line="300" w:lineRule="auto"/>
        <w:ind w:left="540" w:hanging="271"/>
      </w:pPr>
      <w:r>
        <w:rPr>
          <w:rFonts w:ascii="Calibri" w:hAnsi="Calibri"/>
          <w:b/>
          <w:sz w:val="22"/>
        </w:rPr>
        <w:t>Other Text</w:t>
      </w:r>
    </w:p>
    <w:p>
      <w:pPr>
        <w:widowControl/>
        <w:numPr>
          <w:ilvl w:val="0"/>
          <w:numId w:val="10"/>
        </w:numPr>
        <w:spacing w:before="0" w:after="80" w:line="300" w:lineRule="auto"/>
        <w:ind w:left="540" w:hanging="271"/>
      </w:pPr>
      <w:r>
        <w:rPr>
          <w:rFonts w:ascii="Calibri" w:hAnsi="Calibri"/>
          <w:b/>
          <w:sz w:val="22"/>
        </w:rPr>
        <w:t>Lexicon Explorer</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b/>
          <w:sz w:val="22"/>
        </w:rPr>
        <w:t>Light</w:t>
      </w:r>
      <w:r>
        <w:rPr>
          <w:rFonts w:ascii="Calibri" w:hAnsi="Calibri"/>
          <w:sz w:val="22"/>
        </w:rPr>
        <w:t xml:space="preserve">, </w:t>
      </w:r>
      <w:r>
        <w:rPr>
          <w:rFonts w:ascii="Calibri" w:hAnsi="Calibri"/>
          <w:b/>
          <w:sz w:val="22"/>
        </w:rPr>
        <w:t>Dark</w:t>
      </w:r>
      <w:r>
        <w:rPr>
          <w:rFonts w:ascii="Calibri" w:hAnsi="Calibri"/>
          <w:sz w:val="22"/>
        </w:rPr>
        <w:t xml:space="preserve">, and </w:t>
      </w:r>
      <w:r>
        <w:rPr>
          <w:rFonts w:ascii="Calibri" w:hAnsi="Calibri"/>
          <w:b/>
          <w:sz w:val="22"/>
        </w:rPr>
        <w:t>System</w:t>
      </w:r>
      <w:r>
        <w:rPr>
          <w:rFonts w:ascii="Calibri" w:hAnsi="Calibri"/>
          <w:sz w:val="22"/>
        </w:rPr>
        <w:t xml:space="preserve"> appearance;</w:t>
      </w:r>
    </w:p>
    <w:p>
      <w:pPr>
        <w:widowControl/>
        <w:numPr>
          <w:ilvl w:val="0"/>
          <w:numId w:val="10"/>
        </w:numPr>
        <w:spacing w:before="0" w:after="80" w:line="300" w:lineRule="auto"/>
        <w:ind w:left="540" w:hanging="271"/>
      </w:pPr>
      <w:r>
        <w:rPr>
          <w:rFonts w:ascii="Calibri" w:hAnsi="Calibri"/>
          <w:sz w:val="22"/>
        </w:rPr>
        <w:t>settings and help access.</w:t>
      </w:r>
    </w:p>
    <w:p>
      <w:pPr>
        <w:widowControl/>
        <w:spacing w:before="0" w:after="120" w:line="300" w:lineRule="auto"/>
      </w:pPr>
      <w:r>
        <w:rPr>
          <w:rFonts w:ascii="Calibri" w:hAnsi="Calibri"/>
          <w:sz w:val="22"/>
        </w:rPr>
        <w:t>System appearance follows the browser or operating-system preference. The selection is stored as an application-level local preference, not in a project or analysis configuration. Appearance does not change calculations, result IDs, project data, or exports. Publication-oriented charts remain light.</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Choose Evidence</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and Rhyme &amp; Sound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SAFE PRACTICE: A high or low mean is not self-interpreting. Always read it with the lexicon name, analysis view, weighting, matched count, coverage, and evidence table.</w:t>
            </w:r>
          </w:p>
        </w:tc>
      </w:tr>
    </w:tbl>
    <w:p>
      <w:pPr>
        <w:widowControl/>
        <w:spacing w:before="0" w:after="40" w:line="240" w:lineRule="auto"/>
      </w:pP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noun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labels the temporary session but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or PoetryID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answer different questions and remain separate. PoetryID requires an enabled VAD source and reuses its completed result; selecting meter or rhyme automatically runs its pronunciation dependency.</w:t>
      </w:r>
    </w:p>
    <w:p>
      <w:pPr>
        <w:widowControl/>
        <w:spacing w:before="0" w:after="120" w:line="300" w:lineRule="auto"/>
      </w:pPr>
      <w:r>
        <w:rPr>
          <w:rFonts w:ascii="Calibri" w:hAnsi="Calibri"/>
          <w:sz w:val="22"/>
        </w:rPr>
        <w:t xml:space="preserve">The same eight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population dispersion;</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and Intensity section</w:t>
      </w:r>
    </w:p>
    <w:p>
      <w:pPr>
        <w:widowControl/>
        <w:spacing w:before="0" w:after="120" w:line="300" w:lineRule="auto"/>
      </w:pPr>
      <w:r>
        <w:rPr>
          <w:rFonts w:ascii="Calibri" w:hAnsi="Calibri"/>
          <w:sz w:val="22"/>
        </w:rPr>
        <w:t>The eight emotion associations, positive/negative sentiment associations, and numeric emotion intensities appear in three separate sections. Do not compare their values as though they were alternate VAD scales.</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Age of Acquisition section</w:t>
      </w:r>
    </w:p>
    <w:p>
      <w:pPr>
        <w:widowControl/>
        <w:spacing w:before="0" w:after="120" w:line="300" w:lineRule="auto"/>
      </w:pPr>
      <w:r>
        <w:rPr>
          <w:rFonts w:ascii="Calibri" w:hAnsi="Calibri"/>
          <w:sz w:val="22"/>
        </w:rPr>
        <w:t>This tab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Add an override only when you can document the intended reading. Removing an override and analyzing again reverses it.</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Read one source/view/weighting combination at a time.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Single-text results are temporary, so download anything you need before closing the application.</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Project /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 /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and token/type sensitivity without declaring one corpus-wide identity.</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CSV/JSON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Excel Export</w:t>
      </w:r>
    </w:p>
    <w:p>
      <w:pPr>
        <w:widowControl/>
        <w:spacing w:before="0" w:after="120" w:line="300" w:lineRule="auto"/>
      </w:pPr>
      <w:r>
        <w:rPr>
          <w:rFonts w:ascii="Calibri" w:hAnsi="Calibri"/>
          <w:sz w:val="22"/>
        </w:rPr>
        <w:t xml:space="preserve">After a complete batch, download the corpus workbook. It includes a reading guide, both collection weighting views, both stopword views, work-level data, cumulative totals, coverage, separately labeled emotion/sentiment/intensity constructs, unmatched notes, text/version provenance, review decisions when applicable, and the recorded methodology. Optional-module batches add </w:t>
      </w:r>
      <w:r>
        <w:rPr>
          <w:rFonts w:ascii="Calibri" w:hAnsi="Calibri"/>
          <w:b/>
          <w:sz w:val="22"/>
        </w:rPr>
        <w:t>Module Collection</w:t>
      </w:r>
      <w:r>
        <w:rPr>
          <w:rFonts w:ascii="Calibri" w:hAnsi="Calibri"/>
          <w:sz w:val="22"/>
        </w:rPr>
        <w:t xml:space="preserve">, </w:t>
      </w:r>
      <w:r>
        <w:rPr>
          <w:rFonts w:ascii="Calibri" w:hAnsi="Calibri"/>
          <w:b/>
          <w:sz w:val="22"/>
        </w:rPr>
        <w:t>Module Categories</w:t>
      </w:r>
      <w:r>
        <w:rPr>
          <w:rFonts w:ascii="Calibri" w:hAnsi="Calibri"/>
          <w:sz w:val="22"/>
        </w:rPr>
        <w:t xml:space="preserve">, </w:t>
      </w:r>
      <w:r>
        <w:rPr>
          <w:rFonts w:ascii="Calibri" w:hAnsi="Calibri"/>
          <w:b/>
          <w:sz w:val="22"/>
        </w:rPr>
        <w:t>Module Work Results</w:t>
      </w:r>
      <w:r>
        <w:rPr>
          <w:rFonts w:ascii="Calibri" w:hAnsi="Calibri"/>
          <w:sz w:val="22"/>
        </w:rPr>
        <w:t xml:space="preserve">, </w:t>
      </w:r>
      <w:r>
        <w:rPr>
          <w:rFonts w:ascii="Calibri" w:hAnsi="Calibri"/>
          <w:b/>
          <w:sz w:val="22"/>
        </w:rPr>
        <w:t>Module Structure</w:t>
      </w:r>
      <w:r>
        <w:rPr>
          <w:rFonts w:ascii="Calibri" w:hAnsi="Calibri"/>
          <w:sz w:val="22"/>
        </w:rPr>
        <w:t xml:space="preserve">, </w:t>
      </w:r>
      <w:r>
        <w:rPr>
          <w:rFonts w:ascii="Calibri" w:hAnsi="Calibri"/>
          <w:b/>
          <w:sz w:val="22"/>
        </w:rPr>
        <w:t>Module Coverage</w:t>
      </w:r>
      <w:r>
        <w:rPr>
          <w:rFonts w:ascii="Calibri" w:hAnsi="Calibri"/>
          <w:sz w:val="22"/>
        </w:rPr>
        <w:t xml:space="preserve">, </w:t>
      </w:r>
      <w:r>
        <w:rPr>
          <w:rFonts w:ascii="Calibri" w:hAnsi="Calibri"/>
          <w:b/>
          <w:sz w:val="22"/>
        </w:rPr>
        <w:t>Module Provenance</w:t>
      </w:r>
      <w:r>
        <w:rPr>
          <w:rFonts w:ascii="Calibri" w:hAnsi="Calibri"/>
          <w:sz w:val="22"/>
        </w:rPr>
        <w:t xml:space="preserve">, and </w:t>
      </w:r>
      <w:r>
        <w:rPr>
          <w:rFonts w:ascii="Calibri" w:hAnsi="Calibri"/>
          <w:b/>
          <w:sz w:val="22"/>
        </w:rPr>
        <w:t>Module Warnings</w:t>
      </w:r>
      <w:r>
        <w:rPr>
          <w:rFonts w:ascii="Calibri" w:hAnsi="Calibri"/>
          <w:sz w:val="22"/>
        </w:rPr>
        <w:t xml:space="preserve"> sheets.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1"/>
      </w:pPr>
      <w:r>
        <w:rPr>
          <w:rFonts w:ascii="Calibri" w:hAnsi="Calibri"/>
          <w:sz w:val="22"/>
        </w:rPr>
        <w:t>11. Downloads, CSV files, JSON, and Excel</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begins with </w:t>
      </w:r>
      <w:r>
        <w:rPr>
          <w:rFonts w:ascii="Consolas" w:hAnsi="Consolas"/>
          <w:color w:val="1F4D78"/>
          <w:sz w:val="19"/>
        </w:rPr>
        <w:t>START_HERE.txt</w:t>
      </w:r>
      <w:r>
        <w:rPr>
          <w:rFonts w:ascii="Calibri" w:hAnsi="Calibri"/>
          <w:sz w:val="22"/>
        </w:rPr>
        <w:t xml:space="preserve"> and contains the summary, guide, and the following detailed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phase2_results.json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analysis result for machine-readable reuse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poem_document.json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concreteness result, configuration,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frequency result, configuration,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AoA result, configuration, warnings, relationships,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Stage 5 result, source contracts, configuration, candidates,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Stage 6 configuration, line audit, fixed candidates, metrics,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Stage 7 configuration, summary, stanza/line/pair evidence, sound families, coverage,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Stage 10 configuration, summaries, distribution, audit, coverage,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poetry_id_report.txt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Compact readable profile, VAD, confidence, narrative, and caution report</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The JSON files preserve complementary machine-readable records: </w:t>
      </w:r>
      <w:r>
        <w:rPr>
          <w:rFonts w:ascii="Consolas" w:hAnsi="Consolas"/>
          <w:color w:val="1F4D78"/>
          <w:sz w:val="19"/>
        </w:rPr>
        <w:t>phase2_results.json</w:t>
      </w:r>
      <w:r>
        <w:rPr>
          <w:rFonts w:ascii="Calibri" w:hAnsi="Calibri"/>
          <w:sz w:val="22"/>
        </w:rPr>
        <w:t xml:space="preserve"> contains the complete affective analysis, </w:t>
      </w:r>
      <w:r>
        <w:rPr>
          <w:rFonts w:ascii="Consolas" w:hAnsi="Consolas"/>
          <w:color w:val="1F4D78"/>
          <w:sz w:val="19"/>
        </w:rPr>
        <w:t>poem_document.json</w:t>
      </w:r>
      <w:r>
        <w:rPr>
          <w:rFonts w:ascii="Calibri" w:hAnsi="Calibri"/>
          <w:sz w:val="22"/>
        </w:rPr>
        <w:t xml:space="preserve"> contains its shared processing representation, </w:t>
      </w:r>
      <w:r>
        <w:rPr>
          <w:rFonts w:ascii="Consolas" w:hAnsi="Consolas"/>
          <w:color w:val="1F4D78"/>
          <w:sz w:val="19"/>
        </w:rPr>
        <w:t>concreteness_result.json</w:t>
      </w:r>
      <w:r>
        <w:rPr>
          <w:rFonts w:ascii="Calibri" w:hAnsi="Calibri"/>
          <w:sz w:val="22"/>
        </w:rPr>
        <w:t xml:space="preserve"> contains the optional normative lexical concreteness result, </w:t>
      </w:r>
      <w:r>
        <w:rPr>
          <w:rFonts w:ascii="Consolas" w:hAnsi="Consolas"/>
          <w:color w:val="1F4D78"/>
          <w:sz w:val="19"/>
        </w:rPr>
        <w:t>frequency_result.json</w:t>
      </w:r>
      <w:r>
        <w:rPr>
          <w:rFonts w:ascii="Calibri" w:hAnsi="Calibri"/>
          <w:sz w:val="22"/>
        </w:rPr>
        <w:t xml:space="preserve"> contains the optional SUBTLEX-US result, </w:t>
      </w:r>
      <w:r>
        <w:rPr>
          <w:rFonts w:ascii="Consolas" w:hAnsi="Consolas"/>
          <w:color w:val="1F4D78"/>
          <w:sz w:val="19"/>
        </w:rPr>
        <w:t>aoa_result.json</w:t>
      </w:r>
      <w:r>
        <w:rPr>
          <w:rFonts w:ascii="Calibri" w:hAnsi="Calibri"/>
          <w:sz w:val="22"/>
        </w:rPr>
        <w:t xml:space="preserve"> contains the optional Kuperman result, </w:t>
      </w:r>
      <w:r>
        <w:rPr>
          <w:rFonts w:ascii="Consolas" w:hAnsi="Consolas"/>
          <w:color w:val="1F4D78"/>
          <w:sz w:val="19"/>
        </w:rPr>
        <w:t>pronunciation_result.json</w:t>
      </w:r>
      <w:r>
        <w:rPr>
          <w:rFonts w:ascii="Calibri" w:hAnsi="Calibri"/>
          <w:sz w:val="22"/>
        </w:rPr>
        <w:t xml:space="preserve"> contains every Stage 5 candidate and decision, </w:t>
      </w:r>
      <w:r>
        <w:rPr>
          <w:rFonts w:ascii="Consolas" w:hAnsi="Consolas"/>
          <w:color w:val="1F4D78"/>
          <w:sz w:val="19"/>
        </w:rPr>
        <w:t>meter_result.json</w:t>
      </w:r>
      <w:r>
        <w:rPr>
          <w:rFonts w:ascii="Calibri" w:hAnsi="Calibri"/>
          <w:sz w:val="22"/>
        </w:rPr>
        <w:t xml:space="preserve"> contains every Stage 6 line, fixed candidate, and method record, </w:t>
      </w:r>
      <w:r>
        <w:rPr>
          <w:rFonts w:ascii="Consolas" w:hAnsi="Consolas"/>
          <w:color w:val="1F4D78"/>
          <w:sz w:val="19"/>
        </w:rPr>
        <w:t>rhyme_result.json</w:t>
      </w:r>
      <w:r>
        <w:rPr>
          <w:rFonts w:ascii="Calibri" w:hAnsi="Calibri"/>
          <w:sz w:val="22"/>
        </w:rPr>
        <w:t xml:space="preserve"> contains every Stage 7 stanza, line, pair, sound-family, and method record, and </w:t>
      </w:r>
      <w:r>
        <w:rPr>
          <w:rFonts w:ascii="Consolas" w:hAnsi="Consolas"/>
          <w:color w:val="1F4D78"/>
          <w:sz w:val="19"/>
        </w:rPr>
        <w:t>lexical_style_result.json</w:t>
      </w:r>
      <w:r>
        <w:rPr>
          <w:rFonts w:ascii="Calibri" w:hAnsi="Calibri"/>
          <w:sz w:val="22"/>
        </w:rPr>
        <w:t xml:space="preserve"> contains every narrowed Stage 10 configuration, diversity/length summary, structural count, and token decision. At the scholar's direction, PoetryID produces CSV and plain text only and has no JSON export. </w:t>
      </w:r>
      <w:r>
        <w:rPr>
          <w:rFonts w:ascii="Consolas" w:hAnsi="Consolas"/>
          <w:color w:val="1F4D78"/>
          <w:sz w:val="19"/>
        </w:rPr>
        <w:t>poem_document.json</w:t>
      </w:r>
      <w:r>
        <w:rPr>
          <w:rFonts w:ascii="Calibri" w:hAnsi="Calibri"/>
          <w:sz w:val="22"/>
        </w:rPr>
        <w:t xml:space="preserve"> includes the original text, so protect it as research material. Optional module exports retain poem-specific provenance but do not copy any complete research source. The scholar summary is the easiest reading aid.</w:t>
      </w:r>
    </w:p>
    <w:p>
      <w:pPr>
        <w:pStyle w:val="Heading2"/>
      </w:pPr>
      <w:r>
        <w:rPr>
          <w:rFonts w:ascii="Calibri" w:hAnsi="Calibri"/>
          <w:sz w:val="22"/>
        </w:rPr>
        <w:t>Corpus Excel workbook</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Sheet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START HERE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Reading order, weighting distinctions,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Corpus Profiles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Token-weighted and equal-work-weighted collection VAD profiles by analysis view</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 VAD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Work-level means and population standard deviations, token/type weighting, source/normalized scale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totals by work and analysis view</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Coverage and Emotion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Coverage plus a </w:t>
            </w:r>
            <w:r>
              <w:rPr>
                <w:rFonts w:ascii="Consolas" w:hAnsi="Consolas"/>
                <w:color w:val="1F4D78"/>
                <w:sz w:val="17"/>
              </w:rPr>
              <w:t>Construct</w:t>
            </w:r>
            <w:r>
              <w:rPr>
                <w:rFonts w:ascii="Calibri" w:hAnsi="Calibri"/>
                <w:sz w:val="18"/>
              </w:rPr>
              <w:t xml:space="preserve"> field separating emotion associations, sentiment associations, and supplied emotion-intensity metrics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 of Speech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combined-project/work-level POS counts, lexical-token shares, unique types, examples, denominator, and model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Unmatched QC</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Review Decisions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pinned to the exported scenario; present for reviewed runs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Text Metadata</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 IDs, text-version IDs, metadata, paths, and hashes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Methodology</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Selected lexicons, phrase policy, stopword source/version/hash, protected terms, and custom changes</w:t>
            </w:r>
          </w:p>
        </w:tc>
      </w:tr>
    </w:tbl>
    <w:p>
      <w:pPr>
        <w:widowControl/>
        <w:spacing w:before="0" w:after="60" w:line="240" w:lineRule="auto"/>
      </w:pPr>
    </w:p>
    <w:p>
      <w:pPr>
        <w:widowControl/>
        <w:spacing w:before="0" w:after="120" w:line="300" w:lineRule="auto"/>
      </w:pPr>
      <w:r>
        <w:rPr>
          <w:rFonts w:ascii="Calibri" w:hAnsi="Calibri"/>
          <w:sz w:val="22"/>
        </w:rPr>
        <w:t>Excel is a derived report, not the authoritative database. The workbook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healthy installation reports </w:t>
      </w:r>
      <w:r>
        <w:rPr>
          <w:rFonts w:ascii="Consolas" w:hAnsi="Consolas"/>
          <w:color w:val="1F4D78"/>
          <w:sz w:val="19"/>
        </w:rPr>
        <w:t>11/11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w:t>
      </w:r>
      <w:r>
        <w:rPr>
          <w:rFonts w:ascii="Consolas" w:hAnsi="Consolas"/>
          <w:color w:val="1F4D78"/>
          <w:sz w:val="19"/>
        </w:rPr>
        <w:t>start_versevad.bat</w:t>
      </w:r>
      <w:r>
        <w:rPr>
          <w:rFonts w:ascii="Calibri" w:hAnsi="Calibri"/>
          <w:sz w:val="22"/>
        </w:rPr>
        <w:t>. A forced browser refresh or fresh private/incognito tab can clear stale page state.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includes no grapheme-to-phoneme prediction or hidden pronunciation</w:t>
      </w:r>
    </w:p>
    <w:p>
      <w:pPr>
        <w:widowControl/>
        <w:spacing w:before="0" w:after="120" w:line="300" w:lineRule="auto"/>
      </w:pPr>
      <w:r>
        <w:rPr>
          <w:rFonts w:ascii="Calibri" w:hAnsi="Calibri"/>
          <w:sz w:val="22"/>
        </w:rPr>
        <w:t xml:space="preserve">  selection.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tc>
      </w:tr>
    </w:tbl>
    <w:p>
      <w:pPr>
        <w:widowControl/>
        <w:spacing w:before="0" w:after="40" w:line="240" w:lineRule="auto"/>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0.17.0.dev0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