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0.11.0.dev0</w:t>
      </w:r>
      <w:r>
        <w:rPr>
          <w:color w:val="66727C"/>
          <w:sz w:val="21"/>
        </w:rPr>
        <w:br/>
      </w:r>
      <w:r>
        <w:rPr>
          <w:rFonts w:ascii="Calibri" w:hAnsi="Calibri"/>
          <w:b/>
          <w:color w:val="66727C"/>
          <w:sz w:val="21"/>
        </w:rPr>
        <w:t>Guide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lexical evidence found in published word-rating and corpus-frequency resources plus optional dictionary-based pronunciation evidence. Concreteness, SUBTLEX-US frequency, retrospective Age of Acquisition, and pronunciation/lexical-stress results are separate from affective constructs and from each other. VerseVAD does not discover the emotion of a poem, diagnose a speaker or cognition, recover an author's intention, measure what an individual reader feels, or classify meter or rhyme in Stage 5.</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and dictionary pronunciation</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and dictionary pronunciation/lexical stress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no pronunciation is predicted.</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or dictionary pronunciation/syllable/lexical-stress evidence;</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0.11.0.dev0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