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Annual Leave Policy</w:t>
      </w:r>
    </w:p>
    <w:p>
      <w:pPr>
        <w:spacing w:after="100"/>
        <w:jc w:val="center"/>
      </w:pPr>
      <w:r>
        <w:rPr>
          <w:color w:val="666666"/>
          <w:sz w:val="20"/>
          <w:szCs w:val="20"/>
        </w:rPr>
        <w:t xml:space="preserve">[Government Department C] | April 2024</w:t>
      </w:r>
    </w:p>
    <w:p>
      <w:pPr>
        <w:spacing w:after="100"/>
      </w:pPr>
    </w:p>
    <w:p>
      <w:pPr>
        <w:pStyle w:val="Heading1"/>
      </w:pPr>
      <w:r>
        <w:t xml:space="preserve">1. Entitlement</w:t>
      </w:r>
    </w:p>
    <w:p>
      <w:r>
        <w:t xml:space="preserve">Annual leave entitlement depends on length of service and grade: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500"/>
        <w:gridCol w:w="1500"/>
        <w:gridCol w:w="1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Under 1 year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1-2 years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2-5 years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5-10 years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10+ years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AA/AO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23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23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24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23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23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24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HEO/SEO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27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Grade 7/6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27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27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 days</w:t>
            </w:r>
          </w:p>
        </w:tc>
      </w:tr>
    </w:tbl>
    <w:p>
      <w:pPr>
        <w:spacing w:after="100"/>
      </w:pPr>
    </w:p>
    <w:p>
      <w:r>
        <w:t xml:space="preserve">In addition, all staff receive 8 public holidays and 1 privilege day (the King’s Birthday).</w:t>
      </w:r>
    </w:p>
    <w:p>
      <w:pPr>
        <w:pStyle w:val="Heading1"/>
      </w:pPr>
      <w:r>
        <w:t xml:space="preserve">2. Carry over</w:t>
      </w:r>
    </w:p>
    <w:p>
      <w:r>
        <w:t xml:space="preserve">Up to 5 days of unused annual leave may be carried over to the following leave year. Leave carried over must be taken by 30 June.</w:t>
      </w:r>
    </w:p>
    <w:p>
      <w:r>
        <w:t xml:space="preserve">In exceptional circumstances, additional carry over may be approved by a Grade 6.</w:t>
      </w:r>
    </w:p>
    <w:p>
      <w:pPr>
        <w:pStyle w:val="Heading1"/>
      </w:pPr>
      <w:r>
        <w:t xml:space="preserve">3. Booking leave</w:t>
      </w:r>
    </w:p>
    <w:p>
      <w:r>
        <w:t xml:space="preserve">Leave must be requested through the department’s HR system. Line managers should respond to leave requests within 3 working days.</w:t>
      </w:r>
    </w:p>
    <w:p>
      <w:r>
        <w:t xml:space="preserve">Leave should not normally be refused unless there is a genuine business need. Where leave is refused, the manager must explain the reason in writing.</w:t>
      </w:r>
    </w:p>
    <w:p>
      <w:pPr>
        <w:pStyle w:val="Heading1"/>
      </w:pPr>
      <w:r>
        <w:t xml:space="preserve">4. Half days</w:t>
      </w:r>
    </w:p>
    <w:p>
      <w:r>
        <w:t xml:space="preserve">Leave may be taken in half-day increments. A half day is defined as half the employee’s contracted daily hours.</w:t>
      </w:r>
    </w:p>
    <w:p>
      <w:pPr>
        <w:pStyle w:val="Heading1"/>
      </w:pPr>
      <w:r>
        <w:t xml:space="preserve">5. Unpaid leave</w:t>
      </w:r>
    </w:p>
    <w:p>
      <w:r>
        <w:t xml:space="preserve">Employees may request unpaid leave for reasons not covered by other leave policies. Unpaid leave of up to 5 days may be approved by a line manager. Longer periods require Grade 6 approval.</w:t>
      </w:r>
    </w:p>
    <w:p>
      <w:pPr>
        <w:pStyle w:val="Heading1"/>
      </w:pPr>
      <w:r>
        <w:t xml:space="preserve">6. Leave year</w:t>
      </w:r>
    </w:p>
    <w:p>
      <w:r>
        <w:t xml:space="preserve">The leave year runs from 1 April to 31 March.</w:t>
      </w:r>
    </w:p>
    <w:p>
      <w:pPr>
        <w:pStyle w:val="Heading1"/>
      </w:pPr>
      <w:r>
        <w:t xml:space="preserve">7. Leaving the department</w:t>
      </w:r>
    </w:p>
    <w:p>
      <w:r>
        <w:t xml:space="preserve">When an employee leaves [DEPT-C], their leave entitlement is calculated pro rata. Any excess leave taken will be deducted from final salary. Any leave owed will be paid.</w:t>
      </w:r>
    </w:p>
    <w:p>
      <w:pPr>
        <w:spacing w:after="100"/>
      </w:pPr>
    </w:p>
    <w:p>
      <w:r>
        <w:t xml:space="preserve">Contact: hr.leave@[department].gov.uk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2026-04-14T09:02:53.793Z</dcterms:created>
  <dcterms:modified xsi:type="dcterms:W3CDTF">2026-04-14T09:02:53.793Z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