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36"/>
          <w:szCs w:val="36"/>
        </w:rPr>
        <w:t xml:space="preserve">Performance Management Framework 2024–25</w:t>
      </w:r>
    </w:p>
    <w:p>
      <w:pPr>
        <w:spacing w:after="100"/>
        <w:jc w:val="center"/>
      </w:pPr>
      <w:r>
        <w:rPr>
          <w:color w:val="666666"/>
          <w:sz w:val="20"/>
          <w:szCs w:val="20"/>
        </w:rPr>
        <w:t xml:space="preserve">[Government Department C] | Version 2.1 | Effective from 1 April 2024</w:t>
      </w:r>
    </w:p>
    <w:p>
      <w:pPr>
        <w:spacing w:after="100"/>
        <w:jc w:val="center"/>
      </w:pPr>
      <w:r>
        <w:rPr>
          <w:color w:val="666666"/>
          <w:sz w:val="20"/>
          <w:szCs w:val="20"/>
        </w:rPr>
        <w:t xml:space="preserve">Owner: Talent &amp; Performance Team</w:t>
      </w:r>
    </w:p>
    <w:p>
      <w:pPr>
        <w:spacing w:after="100"/>
      </w:pPr>
    </w:p>
    <w:p>
      <w:pPr>
        <w:pStyle w:val="Heading1"/>
      </w:pPr>
      <w:r>
        <w:t xml:space="preserve">1. Overview</w:t>
      </w:r>
    </w:p>
    <w:p>
      <w:r>
        <w:t xml:space="preserve">This framework sets out how individual performance is managed across [DEPT-C]. It applies to all employees at AA to Grade 6. SCS performance is managed under a separate [Central Government Body] framework.</w:t>
      </w:r>
    </w:p>
    <w:p>
      <w:pPr>
        <w:pStyle w:val="Heading1"/>
      </w:pPr>
      <w:r>
        <w:t xml:space="preserve">2. Performance Year</w:t>
      </w:r>
    </w:p>
    <w:p>
      <w:r>
        <w:t xml:space="preserve">The performance year runs from 1 April to 31 March. All staff must have a performance agreement in place by 30 April each year.</w:t>
      </w:r>
    </w:p>
    <w:p>
      <w:pPr>
        <w:pStyle w:val="Heading1"/>
      </w:pPr>
      <w:r>
        <w:t xml:space="preserve">3. Objectives</w:t>
      </w:r>
    </w:p>
    <w:p>
      <w:r>
        <w:t xml:space="preserve">Each employee must have between 3 and 5 objectives agreed with their line manager. Objectives must be SMART (Specific, Measurable, Achievable, Relevant, Time-bound).</w:t>
      </w:r>
    </w:p>
    <w:p>
      <w:r>
        <w:t xml:space="preserve">At least one objective must relate to the employee’s development and at least one must align to their directorate’s business plan.</w:t>
      </w:r>
    </w:p>
    <w:p>
      <w:pPr>
        <w:pStyle w:val="Heading1"/>
      </w:pPr>
      <w:r>
        <w:t xml:space="preserve">4. In-Year Conversations</w:t>
      </w:r>
    </w:p>
    <w:p>
      <w:r>
        <w:t xml:space="preserve">Line managers must hold a minimum of 4 formal performance conversations per year: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00"/>
      </w:tblGrid>
      <w:tr>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Conversation</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Timing</w:t>
            </w:r>
          </w:p>
        </w:tc>
        <w:tc>
          <w:tcPr>
            <w:tcW w:type="dxa" w:w="4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Purpose</w:t>
            </w:r>
          </w:p>
        </w:tc>
      </w:tr>
      <w:tr>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Objective setting</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April</w:t>
            </w:r>
          </w:p>
        </w:tc>
        <w:tc>
          <w:tcPr>
            <w:tcW w:type="dxa" w:w="4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Agree objectives for the year</w:t>
            </w:r>
          </w:p>
        </w:tc>
      </w:tr>
      <w:tr>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Mid-year review</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October</w:t>
            </w:r>
          </w:p>
        </w:tc>
        <w:tc>
          <w:tcPr>
            <w:tcW w:type="dxa" w:w="4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Review progress, adjust objectives</w:t>
            </w:r>
          </w:p>
        </w:tc>
      </w:tr>
      <w:tr>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End-of-year review</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March</w:t>
            </w:r>
          </w:p>
        </w:tc>
        <w:tc>
          <w:tcPr>
            <w:tcW w:type="dxa" w:w="4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Assess overall performance</w:t>
            </w:r>
          </w:p>
        </w:tc>
      </w:tr>
      <w:tr>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Development conversation</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Any time</w:t>
            </w:r>
          </w:p>
        </w:tc>
        <w:tc>
          <w:tcPr>
            <w:tcW w:type="dxa" w:w="4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Focus on learning and career</w:t>
            </w:r>
          </w:p>
        </w:tc>
      </w:tr>
    </w:tbl>
    <w:p>
      <w:pPr>
        <w:spacing w:after="100"/>
      </w:pPr>
    </w:p>
    <w:p>
      <w:r>
        <w:t xml:space="preserve">In addition, regular informal check-ins are expected — ideally fortnightly or monthly.</w:t>
      </w:r>
    </w:p>
    <w:p>
      <w:pPr>
        <w:pStyle w:val="Heading1"/>
      </w:pPr>
      <w:r>
        <w:t xml:space="preserve">5. Performance Ratings</w:t>
      </w:r>
    </w:p>
    <w:p>
      <w:r>
        <w:t xml:space="preserve">At the end of the performance year, each employee receives one of the following ratings: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Rating</w:t>
            </w:r>
          </w:p>
        </w:tc>
        <w:tc>
          <w:tcPr>
            <w:tcW w:type="dxa" w:w="7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Description</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Exceeded</w:t>
            </w:r>
          </w:p>
        </w:tc>
        <w:tc>
          <w:tcPr>
            <w:tcW w:type="dxa" w:w="7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Consistently exceeded all objectives and demonstrated exceptional behaviours</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Met</w:t>
            </w:r>
          </w:p>
        </w:tc>
        <w:tc>
          <w:tcPr>
            <w:tcW w:type="dxa" w:w="7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Met all or most objectives and consistently demonstrated expected behaviours</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Not Met</w:t>
            </w:r>
          </w:p>
        </w:tc>
        <w:tc>
          <w:tcPr>
            <w:tcW w:type="dxa" w:w="7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Did not meet one or more objectives or did not consistently demonstrate expected behaviours</w:t>
            </w:r>
          </w:p>
        </w:tc>
      </w:tr>
    </w:tbl>
    <w:p>
      <w:pPr>
        <w:spacing w:after="100"/>
      </w:pPr>
    </w:p>
    <w:p>
      <w:r>
        <w:t xml:space="preserve">Note: The ‘Must Improve’ rating was removed in 2023-24. Employees who are not meeting expectations should be supported through the Improving Performance procedure (see section 7).</w:t>
      </w:r>
    </w:p>
    <w:p>
      <w:pPr>
        <w:pStyle w:val="Heading1"/>
      </w:pPr>
      <w:r>
        <w:t xml:space="preserve">6. Moderation</w:t>
      </w:r>
    </w:p>
    <w:p>
      <w:r>
        <w:t xml:space="preserve">All ratings are subject to moderation at directorate level. The purpose of moderation is to ensure consistency of standards across teams. Moderation panels are chaired by an SCS1 or above.</w:t>
      </w:r>
    </w:p>
    <w:p>
      <w:r>
        <w:t xml:space="preserve">Expected distribution:</w:t>
      </w:r>
    </w:p>
    <w:p>
      <w:pPr>
        <w:pStyle w:val="ListParagraph"/>
        <w:numPr>
          <w:ilvl w:val="0"/>
          <w:numId w:val="2"/>
        </w:numPr>
      </w:pPr>
      <w:r>
        <w:rPr>
          <w:sz w:val="22"/>
          <w:szCs w:val="22"/>
        </w:rPr>
        <w:t xml:space="preserve">Exceeded: approximately 25% of staff</w:t>
      </w:r>
    </w:p>
    <w:p>
      <w:pPr>
        <w:pStyle w:val="ListParagraph"/>
        <w:numPr>
          <w:ilvl w:val="0"/>
          <w:numId w:val="2"/>
        </w:numPr>
      </w:pPr>
      <w:r>
        <w:rPr>
          <w:sz w:val="22"/>
          <w:szCs w:val="22"/>
        </w:rPr>
        <w:t xml:space="preserve">Met: approximately 65–70%</w:t>
      </w:r>
    </w:p>
    <w:p>
      <w:pPr>
        <w:pStyle w:val="ListParagraph"/>
        <w:numPr>
          <w:ilvl w:val="0"/>
          <w:numId w:val="2"/>
        </w:numPr>
      </w:pPr>
      <w:r>
        <w:rPr>
          <w:sz w:val="22"/>
          <w:szCs w:val="22"/>
        </w:rPr>
        <w:t xml:space="preserve">Not Met: approximately 5–10%</w:t>
      </w:r>
    </w:p>
    <w:p>
      <w:r>
        <w:t xml:space="preserve">These are guidelines, not quotas. Panels should not force ratings to match the distribution if the evidence does not support it.</w:t>
      </w:r>
    </w:p>
    <w:p>
      <w:pPr>
        <w:pStyle w:val="Heading1"/>
      </w:pPr>
      <w:r>
        <w:t xml:space="preserve">7. Improving Performance</w:t>
      </w:r>
    </w:p>
    <w:p>
      <w:r>
        <w:t xml:space="preserve">Where an employee’s performance is below the expected standard, the line manager should first address this through informal support. If performance does not improve, a formal Improving Performance process may be initiated.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0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Stage</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Duration</w:t>
            </w:r>
          </w:p>
        </w:tc>
        <w:tc>
          <w:tcPr>
            <w:tcW w:type="dxa" w:w="4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Outcome if no improvement</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Stage 1 — Support Plan</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8 weeks</w:t>
            </w:r>
          </w:p>
        </w:tc>
        <w:tc>
          <w:tcPr>
            <w:tcW w:type="dxa" w:w="4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Progress to Stage 2</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Stage 2 — Formal Review</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8 weeks</w:t>
            </w:r>
          </w:p>
        </w:tc>
        <w:tc>
          <w:tcPr>
            <w:tcW w:type="dxa" w:w="4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Progress to Stage 3</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Stage 3 — Final Review</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4 weeks</w:t>
            </w:r>
          </w:p>
        </w:tc>
        <w:tc>
          <w:tcPr>
            <w:tcW w:type="dxa" w:w="4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Dismissal or redeployment may be considered</w:t>
            </w:r>
          </w:p>
        </w:tc>
      </w:tr>
    </w:tbl>
    <w:p>
      <w:pPr>
        <w:spacing w:after="100"/>
      </w:pPr>
    </w:p>
    <w:p>
      <w:r>
        <w:t xml:space="preserve">At each stage, the employee has the right to be accompanied by a trade union representative or colleague. A written record must be kept.</w:t>
      </w:r>
    </w:p>
    <w:p>
      <w:r>
        <w:t xml:space="preserve">Note: The Improving Performance procedure is separate from the Disciplinary Policy and the Grievance Policy, although an employee may raise a grievance about the performance process. Where this happens, the performance process will normally continue — see the Grievance Policy, section 5 (Overlapping processes) for guidance.</w:t>
      </w:r>
    </w:p>
    <w:p>
      <w:pPr>
        <w:pStyle w:val="Heading1"/>
      </w:pPr>
      <w:r>
        <w:t xml:space="preserve">8. Performance-Related Pay</w:t>
      </w:r>
    </w:p>
    <w:p>
      <w:r>
        <w:t xml:space="preserve">Performance ratings directly affect pay progression: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Rating</w:t>
            </w:r>
          </w:p>
        </w:tc>
        <w:tc>
          <w:tcPr>
            <w:tcW w:type="dxa" w:w="7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Pay outcome</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Exceeded</w:t>
            </w:r>
          </w:p>
        </w:tc>
        <w:tc>
          <w:tcPr>
            <w:tcW w:type="dxa" w:w="7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Non-consolidated performance payment of £1,000 (if applicable — see pay circular)</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Met</w:t>
            </w:r>
          </w:p>
        </w:tc>
        <w:tc>
          <w:tcPr>
            <w:tcW w:type="dxa" w:w="7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Standard pay progression (if not at top of pay band)</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Not Met</w:t>
            </w:r>
          </w:p>
        </w:tc>
        <w:tc>
          <w:tcPr>
            <w:tcW w:type="dxa" w:w="7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No pay progression; no performance payment</w:t>
            </w:r>
          </w:p>
        </w:tc>
      </w:tr>
    </w:tbl>
    <w:p>
      <w:pPr>
        <w:spacing w:after="100"/>
      </w:pPr>
    </w:p>
    <w:p>
      <w:pPr>
        <w:pStyle w:val="Heading1"/>
      </w:pPr>
      <w:r>
        <w:t xml:space="preserve">9. Appeals</w:t>
      </w:r>
    </w:p>
    <w:p>
      <w:r>
        <w:t xml:space="preserve">Employees who disagree with their performance rating may appeal within 10 working days of receiving their rating. Appeals are heard by a manager at least one grade above the employee’s line manager.</w:t>
      </w:r>
    </w:p>
    <w:p>
      <w:r>
        <w:t xml:space="preserve">The appeal process must be completed within 20 working days of submission. This timeline conflicts with the Grievance Policy timeline of 15 working days for initial hearing — where both processes run concurrently, the longer performance appeal timeline takes precedence.</w:t>
      </w:r>
    </w:p>
    <w:p>
      <w:pPr>
        <w:pStyle w:val="Heading1"/>
      </w:pPr>
      <w:r>
        <w:t xml:space="preserve">10. Record Keeping</w:t>
      </w:r>
    </w:p>
    <w:p>
      <w:r>
        <w:t xml:space="preserve">All performance records (objectives, conversation notes, ratings) must be recorded on the Performance Management module in the HR system.</w:t>
      </w:r>
    </w:p>
    <w:p>
      <w:r>
        <w:t xml:space="preserve">Records are retained for 5 years after the end of the relevant performance year.</w:t>
      </w:r>
    </w:p>
    <w:p>
      <w:pPr>
        <w:pStyle w:val="Heading1"/>
      </w:pPr>
      <w:r>
        <w:t xml:space="preserve">11. Equality</w:t>
      </w:r>
    </w:p>
    <w:p>
      <w:r>
        <w:t xml:space="preserve">The performance management framework must be applied fairly and without discrimination. Moderation panels must consider whether ratings show any adverse patterns related to protected characteristics. The Equality and Diversity team produces an annual analysis of ratings by protected characteristic.</w:t>
      </w:r>
    </w:p>
    <w:p>
      <w:pPr>
        <w:pStyle w:val="Heading1"/>
      </w:pPr>
      <w:r>
        <w:t xml:space="preserve">12. Review</w:t>
      </w:r>
    </w:p>
    <w:p>
      <w:r>
        <w:t xml:space="preserve">This framework is reviewed annually before the start of each performance year.</w:t>
      </w:r>
    </w:p>
    <w:p>
      <w:r>
        <w:t xml:space="preserve">Last reviewed: March 2024 | Next review: March 2025</w:t>
      </w:r>
    </w:p>
    <w:p>
      <w:r>
        <w:t xml:space="preserve">Contact: performance.management@[department].gov.uk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2026-04-14T09:02:53.821Z</dcterms:created>
  <dcterms:modified xsi:type="dcterms:W3CDTF">2026-04-14T09:02:53.821Z</dcterms:modified>
</cp:coreProperties>
</file>

<file path=docProps/custom.xml><?xml version="1.0" encoding="utf-8"?>
<Properties xmlns="http://schemas.openxmlformats.org/officeDocument/2006/custom-properties" xmlns:vt="http://schemas.openxmlformats.org/officeDocument/2006/docPropsVTypes"/>
</file>