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Raising Concerns at Work</w:t>
      </w:r>
    </w:p>
    <w:p>
      <w:pPr>
        <w:spacing w:after="200"/>
        <w:jc w:val="center"/>
      </w:pPr>
      <w:r>
        <w:rPr>
          <w:rFonts w:ascii="Arial" w:cs="Arial" w:eastAsia="Arial" w:hAnsi="Arial"/>
          <w:b/>
          <w:bCs/>
          <w:sz w:val="36"/>
          <w:szCs w:val="36"/>
        </w:rPr>
        <w:t xml:space="preserve">(Whistleblowing Guidance)</w:t>
      </w:r>
    </w:p>
    <w:p>
      <w:pPr>
        <w:spacing w:after="100"/>
        <w:jc w:val="center"/>
      </w:pPr>
      <w:r>
        <w:rPr>
          <w:color w:val="666666"/>
          <w:sz w:val="20"/>
          <w:szCs w:val="20"/>
        </w:rPr>
        <w:t xml:space="preserve">[Government Department C] | July 2023</w:t>
      </w:r>
    </w:p>
    <w:p>
      <w:pPr>
        <w:spacing w:after="100"/>
        <w:jc w:val="center"/>
      </w:pPr>
      <w:r>
        <w:rPr>
          <w:color w:val="666666"/>
          <w:sz w:val="20"/>
          <w:szCs w:val="20"/>
        </w:rPr>
        <w:t xml:space="preserve">Owner: Corporate Governance Directorate | Version: 3.0</w:t>
      </w:r>
    </w:p>
    <w:p>
      <w:pPr>
        <w:spacing w:after="100"/>
      </w:pPr>
    </w:p>
    <w:p>
      <w:pPr>
        <w:pStyle w:val="Heading1"/>
      </w:pPr>
      <w:r>
        <w:t xml:space="preserve">1. Introduction</w:t>
      </w:r>
    </w:p>
    <w:p>
      <w:r>
        <w:t xml:space="preserve">[DEPT-C] is committed to the highest standards of conduct, openness, and accountability. This guidance sets out how employees and others working for or with the department can raise concerns about wrongdoing.</w:t>
      </w:r>
    </w:p>
    <w:p>
      <w:r>
        <w:t xml:space="preserve">This guidance applies to:</w:t>
      </w:r>
    </w:p>
    <w:p>
      <w:pPr>
        <w:pStyle w:val="ListParagraph"/>
        <w:numPr>
          <w:ilvl w:val="0"/>
          <w:numId w:val="2"/>
        </w:numPr>
      </w:pPr>
      <w:r>
        <w:rPr>
          <w:sz w:val="22"/>
          <w:szCs w:val="22"/>
        </w:rPr>
        <w:t xml:space="preserve">All [DEPT-C] employees</w:t>
      </w:r>
    </w:p>
    <w:p>
      <w:pPr>
        <w:pStyle w:val="ListParagraph"/>
        <w:numPr>
          <w:ilvl w:val="0"/>
          <w:numId w:val="2"/>
        </w:numPr>
      </w:pPr>
      <w:r>
        <w:rPr>
          <w:sz w:val="22"/>
          <w:szCs w:val="22"/>
        </w:rPr>
        <w:t xml:space="preserve">Agency workers, contractors, and consultants</w:t>
      </w:r>
    </w:p>
    <w:p>
      <w:pPr>
        <w:pStyle w:val="ListParagraph"/>
        <w:numPr>
          <w:ilvl w:val="0"/>
          <w:numId w:val="2"/>
        </w:numPr>
      </w:pPr>
      <w:r>
        <w:rPr>
          <w:sz w:val="22"/>
          <w:szCs w:val="22"/>
        </w:rPr>
        <w:t xml:space="preserve">Secondees from other departments or organisations</w:t>
      </w:r>
    </w:p>
    <w:p>
      <w:pPr>
        <w:pStyle w:val="ListParagraph"/>
        <w:numPr>
          <w:ilvl w:val="0"/>
          <w:numId w:val="2"/>
        </w:numPr>
      </w:pPr>
      <w:r>
        <w:rPr>
          <w:sz w:val="22"/>
          <w:szCs w:val="22"/>
        </w:rPr>
        <w:t xml:space="preserve">Former employees (in respect of concerns arising during their employment)</w:t>
      </w:r>
    </w:p>
    <w:p>
      <w:pPr>
        <w:pStyle w:val="Heading1"/>
      </w:pPr>
      <w:r>
        <w:t xml:space="preserve">2. What counts as a qualifying disclosure?</w:t>
      </w:r>
    </w:p>
    <w:p>
      <w:r>
        <w:t xml:space="preserve">The Public Interest Disclosure Act 1998 (PIDA) protects workers who disclose information that they reasonably believe shows one or more of the following:</w:t>
      </w:r>
    </w:p>
    <w:p>
      <w:r>
        <w:t xml:space="preserve">(a) A criminal offence has been committed, is being committed, or is likely to be committed</w:t>
      </w:r>
    </w:p>
    <w:p>
      <w:r>
        <w:t xml:space="preserve">(b) A person has failed, is failing, or is likely to fail to comply with a legal obligation</w:t>
      </w:r>
    </w:p>
    <w:p>
      <w:r>
        <w:t xml:space="preserve">(c) A miscarriage of justice has occurred, is occurring, or is likely to occur</w:t>
      </w:r>
    </w:p>
    <w:p>
      <w:r>
        <w:t xml:space="preserve">(d) The health or safety of any individual has been, is being, or is likely to be endangered</w:t>
      </w:r>
    </w:p>
    <w:p>
      <w:r>
        <w:t xml:space="preserve">(e) The environment has been, is being, or is likely to be damaged</w:t>
      </w:r>
    </w:p>
    <w:p>
      <w:r>
        <w:t xml:space="preserve">(f) Information tending to show any of the above has been, is being, or is likely to be deliberately concealed</w:t>
      </w:r>
    </w:p>
    <w:p>
      <w:pPr>
        <w:spacing w:after="100"/>
      </w:pPr>
    </w:p>
    <w:p>
      <w:r>
        <w:t xml:space="preserve">Concerns about personal employment matters (such as pay, grading, or workload) are not qualifying disclosures and should be raised through the Grievance Policy.</w:t>
      </w:r>
    </w:p>
    <w:p>
      <w:pPr>
        <w:pStyle w:val="Heading1"/>
      </w:pPr>
      <w:r>
        <w:t xml:space="preserve">3. How to raise a concern</w:t>
      </w:r>
    </w:p>
    <w:p>
      <w:pPr>
        <w:pStyle w:val="Heading2"/>
      </w:pPr>
      <w:r>
        <w:t xml:space="preserve">3.1 Internal channels (preferred)</w:t>
      </w:r>
    </w:p>
    <w:p>
      <w:r>
        <w:t xml:space="preserve">Employees should normally raise concerns with their line manager in the first instance. If this is not appropriate (for example, if the concern involves the line manager), the following alternative channels are available:</w:t>
      </w:r>
    </w:p>
    <w:p>
      <w:pPr>
        <w:pStyle w:val="ListParagraph"/>
        <w:numPr>
          <w:ilvl w:val="0"/>
          <w:numId w:val="2"/>
        </w:numPr>
      </w:pPr>
      <w:r>
        <w:rPr>
          <w:sz w:val="22"/>
          <w:szCs w:val="22"/>
        </w:rPr>
        <w:t xml:space="preserve">Nominated Officer for the directorate</w:t>
      </w:r>
    </w:p>
    <w:p>
      <w:pPr>
        <w:pStyle w:val="ListParagraph"/>
        <w:numPr>
          <w:ilvl w:val="0"/>
          <w:numId w:val="2"/>
        </w:numPr>
      </w:pPr>
      <w:r>
        <w:rPr>
          <w:sz w:val="22"/>
          <w:szCs w:val="22"/>
        </w:rPr>
        <w:t xml:space="preserve">HR Casework Team: hrcase@[department].gov.uk</w:t>
      </w:r>
    </w:p>
    <w:p>
      <w:pPr>
        <w:pStyle w:val="ListParagraph"/>
        <w:numPr>
          <w:ilvl w:val="0"/>
          <w:numId w:val="2"/>
        </w:numPr>
      </w:pPr>
      <w:r>
        <w:rPr>
          <w:sz w:val="22"/>
          <w:szCs w:val="22"/>
        </w:rPr>
        <w:t xml:space="preserve">Counter Fraud Team: counter.fraud@[department].gov.uk</w:t>
      </w:r>
    </w:p>
    <w:p>
      <w:pPr>
        <w:pStyle w:val="ListParagraph"/>
        <w:numPr>
          <w:ilvl w:val="0"/>
          <w:numId w:val="2"/>
        </w:numPr>
      </w:pPr>
      <w:r>
        <w:rPr>
          <w:sz w:val="22"/>
          <w:szCs w:val="22"/>
        </w:rPr>
        <w:t xml:space="preserve">Departmental Raising Concerns helpline: 0800 XXX XXXX (confidential)</w:t>
      </w:r>
    </w:p>
    <w:p>
      <w:pPr>
        <w:pStyle w:val="Heading2"/>
      </w:pPr>
      <w:r>
        <w:t xml:space="preserve">3.2 External channels</w:t>
      </w:r>
    </w:p>
    <w:p>
      <w:r>
        <w:t xml:space="preserve">If an employee has raised a concern internally and believes it has not been addressed, or if they believe internal reporting is inappropriate, they may report to:</w:t>
      </w:r>
    </w:p>
    <w:p>
      <w:pPr>
        <w:pStyle w:val="ListParagraph"/>
        <w:numPr>
          <w:ilvl w:val="0"/>
          <w:numId w:val="2"/>
        </w:numPr>
      </w:pPr>
      <w:r>
        <w:rPr>
          <w:sz w:val="22"/>
          <w:szCs w:val="22"/>
        </w:rPr>
        <w:t xml:space="preserve">The [Regulatory Body B] ([REG-B])</w:t>
      </w:r>
    </w:p>
    <w:p>
      <w:pPr>
        <w:pStyle w:val="ListParagraph"/>
        <w:numPr>
          <w:ilvl w:val="0"/>
          <w:numId w:val="2"/>
        </w:numPr>
      </w:pPr>
      <w:r>
        <w:rPr>
          <w:sz w:val="22"/>
          <w:szCs w:val="22"/>
        </w:rPr>
        <w:t xml:space="preserve">The relevant regulatory body (e.g., the [Regulatory Body A] for data protection concerns)</w:t>
      </w:r>
    </w:p>
    <w:p>
      <w:pPr>
        <w:pStyle w:val="ListParagraph"/>
        <w:numPr>
          <w:ilvl w:val="0"/>
          <w:numId w:val="2"/>
        </w:numPr>
      </w:pPr>
      <w:r>
        <w:rPr>
          <w:sz w:val="22"/>
          <w:szCs w:val="22"/>
        </w:rPr>
        <w:t xml:space="preserve">A Member of Parliament</w:t>
      </w:r>
    </w:p>
    <w:p>
      <w:r>
        <w:t xml:space="preserve">Employees considering external disclosure should seek advice from the nominated officer or a trade union representative first.</w:t>
      </w:r>
    </w:p>
    <w:p>
      <w:pPr>
        <w:pStyle w:val="Heading2"/>
      </w:pPr>
      <w:r>
        <w:t xml:space="preserve">3.3 Anonymous reporting</w:t>
      </w:r>
    </w:p>
    <w:p>
      <w:r>
        <w:t xml:space="preserve">Anonymous concerns will be considered, but it is more difficult to investigate and provide feedback when the identity of the reporter is unknown. Employees are encouraged to identify themselves wherever possible. All disclosures are treated in confidence.</w:t>
      </w:r>
    </w:p>
    <w:p>
      <w:pPr>
        <w:pStyle w:val="Heading1"/>
      </w:pPr>
      <w:r>
        <w:t xml:space="preserve">4. Protections</w:t>
      </w:r>
    </w:p>
    <w:p>
      <w:r>
        <w:t xml:space="preserve">Employees who raise concerns in good faith are protected from detrimental treatment under PIDA. This means:</w:t>
      </w:r>
    </w:p>
    <w:p>
      <w:pPr>
        <w:pStyle w:val="ListParagraph"/>
        <w:numPr>
          <w:ilvl w:val="0"/>
          <w:numId w:val="2"/>
        </w:numPr>
      </w:pPr>
      <w:r>
        <w:rPr>
          <w:sz w:val="22"/>
          <w:szCs w:val="22"/>
        </w:rPr>
        <w:t xml:space="preserve">They will not be disciplined or dismissed for raising a concern</w:t>
      </w:r>
    </w:p>
    <w:p>
      <w:pPr>
        <w:pStyle w:val="ListParagraph"/>
        <w:numPr>
          <w:ilvl w:val="0"/>
          <w:numId w:val="2"/>
        </w:numPr>
      </w:pPr>
      <w:r>
        <w:rPr>
          <w:sz w:val="22"/>
          <w:szCs w:val="22"/>
        </w:rPr>
        <w:t xml:space="preserve">They will not be subjected to bullying, harassment, or victimisation</w:t>
      </w:r>
    </w:p>
    <w:p>
      <w:pPr>
        <w:pStyle w:val="ListParagraph"/>
        <w:numPr>
          <w:ilvl w:val="0"/>
          <w:numId w:val="2"/>
        </w:numPr>
      </w:pPr>
      <w:r>
        <w:rPr>
          <w:sz w:val="22"/>
          <w:szCs w:val="22"/>
        </w:rPr>
        <w:t xml:space="preserve">Their career progression will not be adversely affected</w:t>
      </w:r>
    </w:p>
    <w:p>
      <w:r>
        <w:t xml:space="preserve">Any manager who retaliates against an employee for raising a concern will themselves be subject to disciplinary action.</w:t>
      </w:r>
    </w:p>
    <w:p>
      <w:r>
        <w:t xml:space="preserve">If an employee believes they have suffered detriment as a result of raising a concern, they should contact the Raising Concerns helpline or their trade union immediately.</w:t>
      </w:r>
    </w:p>
    <w:p>
      <w:pPr>
        <w:pStyle w:val="Heading1"/>
      </w:pPr>
      <w:r>
        <w:t xml:space="preserve">5. Investigation</w:t>
      </w:r>
    </w:p>
    <w:p>
      <w:r>
        <w:t xml:space="preserve">All concerns will be acknowledged within 5 working days. An initial assessment will determine whether a full investigation is required.</w:t>
      </w:r>
    </w:p>
    <w:p>
      <w:r>
        <w:t xml:space="preserve">Investigations are conducted by the Corporate Governance team or, where appropriate, by an independent investigator. The investigating officer will keep the reporter informed of progress, subject to any legal constraints.</w:t>
      </w:r>
    </w:p>
    <w:p>
      <w:r>
        <w:t xml:space="preserve">Timescale: The department aims to complete investigations within 60 working days, although complex cases may take longer.</w:t>
      </w:r>
    </w:p>
    <w:p>
      <w:pPr>
        <w:pStyle w:val="Heading1"/>
      </w:pPr>
      <w:r>
        <w:t xml:space="preserve">6. If the concern is not upheld</w:t>
      </w:r>
    </w:p>
    <w:p>
      <w:r>
        <w:t xml:space="preserve">Not every concern will result in a finding of wrongdoing. Where an investigation does not uphold the concern, the reporter will be informed of the reasons. Raising a concern in good faith that is not upheld does not constitute misconduct.</w:t>
      </w:r>
    </w:p>
    <w:p>
      <w:pPr>
        <w:pStyle w:val="Heading1"/>
      </w:pPr>
      <w:r>
        <w:t xml:space="preserve">7. Record keeping</w:t>
      </w:r>
    </w:p>
    <w:p>
      <w:r>
        <w:t xml:space="preserve">The Corporate Governance team maintains a confidential register of all concerns raised. Data is retained for 7 years and then securely destroyed.</w:t>
      </w:r>
    </w:p>
    <w:p>
      <w:r>
        <w:t xml:space="preserve">An anonymised annual summary is published in the department’s annual report.</w:t>
      </w:r>
    </w:p>
    <w:p>
      <w:pPr>
        <w:pStyle w:val="Heading1"/>
      </w:pPr>
      <w:r>
        <w:t xml:space="preserve">8. Related policies</w:t>
      </w:r>
    </w:p>
    <w:p>
      <w:pPr>
        <w:pStyle w:val="ListParagraph"/>
        <w:numPr>
          <w:ilvl w:val="0"/>
          <w:numId w:val="2"/>
        </w:numPr>
      </w:pPr>
      <w:r>
        <w:rPr>
          <w:sz w:val="22"/>
          <w:szCs w:val="22"/>
        </w:rPr>
        <w:t xml:space="preserve">Grievance Policy</w:t>
      </w:r>
    </w:p>
    <w:p>
      <w:pPr>
        <w:pStyle w:val="ListParagraph"/>
        <w:numPr>
          <w:ilvl w:val="0"/>
          <w:numId w:val="2"/>
        </w:numPr>
      </w:pPr>
      <w:r>
        <w:rPr>
          <w:sz w:val="22"/>
          <w:szCs w:val="22"/>
        </w:rPr>
        <w:t xml:space="preserve">Disciplinary Policy</w:t>
      </w:r>
    </w:p>
    <w:p>
      <w:pPr>
        <w:pStyle w:val="ListParagraph"/>
        <w:numPr>
          <w:ilvl w:val="0"/>
          <w:numId w:val="2"/>
        </w:numPr>
      </w:pPr>
      <w:r>
        <w:rPr>
          <w:sz w:val="22"/>
          <w:szCs w:val="22"/>
        </w:rPr>
        <w:t xml:space="preserve">Counter Fraud Policy</w:t>
      </w:r>
    </w:p>
    <w:p>
      <w:pPr>
        <w:pStyle w:val="ListParagraph"/>
        <w:numPr>
          <w:ilvl w:val="0"/>
          <w:numId w:val="2"/>
        </w:numPr>
      </w:pPr>
      <w:r>
        <w:rPr>
          <w:sz w:val="22"/>
          <w:szCs w:val="22"/>
        </w:rPr>
        <w:t xml:space="preserve">Information Security Policy</w:t>
      </w:r>
    </w:p>
    <w:p>
      <w:pPr>
        <w:pStyle w:val="ListParagraph"/>
        <w:numPr>
          <w:ilvl w:val="0"/>
          <w:numId w:val="2"/>
        </w:numPr>
      </w:pPr>
      <w:r>
        <w:rPr>
          <w:sz w:val="22"/>
          <w:szCs w:val="22"/>
        </w:rPr>
        <w:t xml:space="preserve">Civil Service Code</w:t>
      </w:r>
    </w:p>
    <w:p>
      <w:pPr>
        <w:pStyle w:val="Heading1"/>
      </w:pPr>
      <w:r>
        <w:t xml:space="preserve">9. Review</w:t>
      </w:r>
    </w:p>
    <w:p>
      <w:r>
        <w:t xml:space="preserve">This guidance is reviewed every 2 years.</w:t>
      </w:r>
    </w:p>
    <w:p>
      <w:r>
        <w:t xml:space="preserve">Last reviewed: July 2023 | Next review: July 2025</w:t>
      </w:r>
    </w:p>
    <w:p>
      <w:r>
        <w:t xml:space="preserve">Contact: raising.concerns@[department].gov.uk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2026-04-14T09:02:53.894Z</dcterms:created>
  <dcterms:modified xsi:type="dcterms:W3CDTF">2026-04-14T09:02:53.894Z</dcterms:modified>
</cp:coreProperties>
</file>

<file path=docProps/custom.xml><?xml version="1.0" encoding="utf-8"?>
<Properties xmlns="http://schemas.openxmlformats.org/officeDocument/2006/custom-properties" xmlns:vt="http://schemas.openxmlformats.org/officeDocument/2006/docPropsVTypes"/>
</file>