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9DE2C5">
      <w:r>
        <w:drawing>
          <wp:inline distT="0" distB="0" distL="114300" distR="114300">
            <wp:extent cx="5266690" cy="155257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6690" cy="1552575"/>
                    </a:xfrm>
                    <a:prstGeom prst="rect">
                      <a:avLst/>
                    </a:prstGeom>
                    <a:noFill/>
                    <a:ln>
                      <a:noFill/>
                    </a:ln>
                  </pic:spPr>
                </pic:pic>
              </a:graphicData>
            </a:graphic>
          </wp:inline>
        </w:drawing>
      </w:r>
    </w:p>
    <w:p w14:paraId="4D3947D6">
      <w:pPr>
        <w:jc w:val="center"/>
        <w:rPr>
          <w:rFonts w:ascii="楷体" w:hAnsi="楷体" w:eastAsia="楷体" w:cs="黑体"/>
          <w:bCs/>
          <w:sz w:val="44"/>
          <w:szCs w:val="44"/>
        </w:rPr>
      </w:pPr>
      <w:r>
        <w:rPr>
          <w:rFonts w:hint="eastAsia" w:ascii="楷体" w:hAnsi="楷体" w:eastAsia="楷体" w:cs="黑体"/>
          <w:bCs/>
          <w:sz w:val="44"/>
          <w:szCs w:val="44"/>
        </w:rPr>
        <w:t>（</w:t>
      </w:r>
      <w:r>
        <w:rPr>
          <w:rFonts w:ascii="楷体" w:hAnsi="楷体" w:eastAsia="楷体" w:cs="黑体"/>
          <w:bCs/>
          <w:sz w:val="44"/>
          <w:szCs w:val="44"/>
        </w:rPr>
        <w:t>202</w:t>
      </w:r>
      <w:r>
        <w:rPr>
          <w:rFonts w:hint="eastAsia" w:ascii="楷体" w:hAnsi="楷体" w:eastAsia="楷体" w:cs="黑体"/>
          <w:bCs/>
          <w:sz w:val="44"/>
          <w:szCs w:val="44"/>
          <w:lang w:val="en-US" w:eastAsia="zh-CN"/>
        </w:rPr>
        <w:t>5</w:t>
      </w:r>
      <w:r>
        <w:rPr>
          <w:rFonts w:hint="eastAsia" w:ascii="楷体" w:hAnsi="楷体" w:eastAsia="楷体" w:cs="黑体"/>
          <w:bCs/>
          <w:sz w:val="44"/>
          <w:szCs w:val="44"/>
        </w:rPr>
        <w:t>-</w:t>
      </w:r>
      <w:r>
        <w:rPr>
          <w:rFonts w:ascii="楷体" w:hAnsi="楷体" w:eastAsia="楷体" w:cs="黑体"/>
          <w:bCs/>
          <w:sz w:val="44"/>
          <w:szCs w:val="44"/>
        </w:rPr>
        <w:t>202</w:t>
      </w:r>
      <w:r>
        <w:rPr>
          <w:rFonts w:hint="eastAsia" w:ascii="楷体" w:hAnsi="楷体" w:eastAsia="楷体" w:cs="黑体"/>
          <w:bCs/>
          <w:sz w:val="44"/>
          <w:szCs w:val="44"/>
          <w:lang w:val="en-US" w:eastAsia="zh-CN"/>
        </w:rPr>
        <w:t>6</w:t>
      </w:r>
      <w:r>
        <w:rPr>
          <w:rFonts w:hint="eastAsia" w:ascii="楷体" w:hAnsi="楷体" w:eastAsia="楷体" w:cs="黑体"/>
          <w:bCs/>
          <w:sz w:val="44"/>
          <w:szCs w:val="44"/>
        </w:rPr>
        <w:t>学年 第</w:t>
      </w:r>
      <w:r>
        <w:rPr>
          <w:rFonts w:hint="eastAsia" w:ascii="楷体" w:hAnsi="楷体" w:eastAsia="楷体" w:cs="黑体"/>
          <w:bCs/>
          <w:sz w:val="44"/>
          <w:szCs w:val="44"/>
          <w:lang w:val="en-US" w:eastAsia="zh-CN"/>
        </w:rPr>
        <w:t>1</w:t>
      </w:r>
      <w:r>
        <w:rPr>
          <w:rFonts w:hint="eastAsia" w:ascii="楷体" w:hAnsi="楷体" w:eastAsia="楷体" w:cs="黑体"/>
          <w:bCs/>
          <w:sz w:val="44"/>
          <w:szCs w:val="44"/>
        </w:rPr>
        <w:t>学期）</w:t>
      </w:r>
    </w:p>
    <w:p w14:paraId="54FC4D9B">
      <w:pPr>
        <w:jc w:val="center"/>
        <w:rPr>
          <w:rFonts w:eastAsia="黑体"/>
          <w:b/>
          <w:bCs/>
          <w:sz w:val="44"/>
          <w:szCs w:val="44"/>
        </w:rPr>
      </w:pPr>
      <w:r>
        <w:rPr>
          <w:rFonts w:hint="eastAsia" w:eastAsia="黑体" w:cs="黑体"/>
          <w:b/>
          <w:bCs/>
          <w:sz w:val="44"/>
          <w:szCs w:val="44"/>
        </w:rPr>
        <w:t xml:space="preserve"> </w:t>
      </w:r>
      <w:r>
        <w:rPr>
          <w:rFonts w:eastAsia="黑体" w:cs="黑体"/>
          <w:b/>
          <w:bCs/>
          <w:sz w:val="44"/>
          <w:szCs w:val="44"/>
        </w:rPr>
        <w:t xml:space="preserve"> </w:t>
      </w:r>
    </w:p>
    <w:p w14:paraId="0EB0C839">
      <w:pPr>
        <w:wordWrap w:val="0"/>
        <w:ind w:firstLine="1988" w:firstLineChars="450"/>
        <w:jc w:val="center"/>
        <w:rPr>
          <w:rFonts w:eastAsia="黑体"/>
          <w:b/>
          <w:bCs/>
          <w:sz w:val="44"/>
          <w:szCs w:val="44"/>
        </w:rPr>
      </w:pPr>
    </w:p>
    <w:p w14:paraId="536EF96C">
      <w:pPr>
        <w:wordWrap w:val="0"/>
        <w:jc w:val="center"/>
        <w:rPr>
          <w:rFonts w:eastAsia="黑体" w:cs="黑体"/>
          <w:bCs/>
          <w:sz w:val="44"/>
          <w:szCs w:val="44"/>
        </w:rPr>
      </w:pPr>
      <w:r>
        <w:rPr>
          <w:rFonts w:hint="eastAsia" w:eastAsia="黑体" w:cs="黑体"/>
          <w:bCs/>
          <w:sz w:val="44"/>
          <w:szCs w:val="44"/>
        </w:rPr>
        <w:t>《工程与</w:t>
      </w:r>
      <w:r>
        <w:rPr>
          <w:rFonts w:hint="eastAsia" w:eastAsia="黑体" w:cs="黑体"/>
          <w:bCs/>
          <w:sz w:val="44"/>
          <w:szCs w:val="44"/>
          <w:lang w:val="en-US" w:eastAsia="zh-CN"/>
        </w:rPr>
        <w:t>社会</w:t>
      </w:r>
      <w:r>
        <w:rPr>
          <w:rFonts w:hint="eastAsia" w:eastAsia="黑体" w:cs="黑体"/>
          <w:bCs/>
          <w:sz w:val="44"/>
          <w:szCs w:val="44"/>
        </w:rPr>
        <w:t>》课程论文</w:t>
      </w:r>
    </w:p>
    <w:p w14:paraId="0CB5D0D4">
      <w:pPr>
        <w:wordWrap w:val="0"/>
        <w:jc w:val="center"/>
        <w:rPr>
          <w:sz w:val="18"/>
          <w:szCs w:val="18"/>
        </w:rPr>
      </w:pPr>
      <w:r>
        <w:rPr>
          <w:sz w:val="18"/>
          <w:szCs w:val="18"/>
        </w:rPr>
        <w:t> </w:t>
      </w:r>
    </w:p>
    <w:p w14:paraId="1C80982B">
      <w:pPr>
        <w:wordWrap w:val="0"/>
        <w:jc w:val="center"/>
        <w:rPr>
          <w:sz w:val="18"/>
          <w:szCs w:val="18"/>
        </w:rPr>
      </w:pPr>
      <w:r>
        <w:rPr>
          <w:sz w:val="18"/>
          <w:szCs w:val="18"/>
        </w:rPr>
        <w:t> </w:t>
      </w:r>
    </w:p>
    <w:p w14:paraId="69305208">
      <w:pPr>
        <w:wordWrap w:val="0"/>
        <w:jc w:val="left"/>
        <w:rPr>
          <w:b/>
          <w:bCs/>
          <w:sz w:val="18"/>
          <w:szCs w:val="18"/>
        </w:rPr>
      </w:pPr>
    </w:p>
    <w:p w14:paraId="784104E4">
      <w:pPr>
        <w:wordWrap w:val="0"/>
        <w:jc w:val="left"/>
        <w:rPr>
          <w:b/>
          <w:bCs/>
          <w:sz w:val="18"/>
          <w:szCs w:val="18"/>
        </w:rPr>
      </w:pPr>
    </w:p>
    <w:p w14:paraId="49463CE1">
      <w:pPr>
        <w:wordWrap w:val="0"/>
        <w:jc w:val="left"/>
        <w:rPr>
          <w:b/>
          <w:bCs/>
          <w:sz w:val="18"/>
          <w:szCs w:val="18"/>
        </w:rPr>
      </w:pPr>
    </w:p>
    <w:p w14:paraId="54FE4E32">
      <w:pPr>
        <w:tabs>
          <w:tab w:val="left" w:pos="1080"/>
        </w:tabs>
        <w:wordWrap w:val="0"/>
        <w:ind w:firstLine="1780" w:firstLineChars="591"/>
        <w:jc w:val="center"/>
        <w:rPr>
          <w:rFonts w:eastAsia="楷体_GB2312"/>
          <w:b/>
          <w:bCs/>
          <w:sz w:val="30"/>
          <w:szCs w:val="30"/>
          <w:u w:val="single"/>
        </w:rPr>
      </w:pPr>
      <w:r>
        <w:rPr>
          <w:rFonts w:hint="eastAsia" w:eastAsia="楷体_GB2312" w:cs="楷体_GB2312"/>
          <w:b/>
          <w:bCs/>
          <w:sz w:val="30"/>
          <w:szCs w:val="30"/>
        </w:rPr>
        <w:t>题</w:t>
      </w:r>
      <w:r>
        <w:rPr>
          <w:rFonts w:eastAsia="楷体_GB2312"/>
          <w:b/>
          <w:bCs/>
          <w:sz w:val="30"/>
          <w:szCs w:val="30"/>
        </w:rPr>
        <w:t xml:space="preserve">    </w:t>
      </w:r>
      <w:r>
        <w:rPr>
          <w:rFonts w:hint="eastAsia" w:eastAsia="楷体_GB2312" w:cs="楷体_GB2312"/>
          <w:b/>
          <w:bCs/>
          <w:sz w:val="30"/>
          <w:szCs w:val="30"/>
        </w:rPr>
        <w:t>目</w:t>
      </w:r>
      <w:r>
        <w:rPr>
          <w:rFonts w:hint="eastAsia" w:eastAsia="楷体_GB2312"/>
          <w:b/>
          <w:bCs/>
          <w:sz w:val="30"/>
          <w:szCs w:val="30"/>
          <w:u w:val="single"/>
        </w:rPr>
        <w:t>社交媒体大数据赋能公共危机管理：应用、挑战与协同治理路径</w:t>
      </w:r>
    </w:p>
    <w:p w14:paraId="6083D03A">
      <w:pPr>
        <w:wordWrap w:val="0"/>
        <w:ind w:firstLine="1780" w:firstLineChars="591"/>
        <w:rPr>
          <w:rFonts w:eastAsia="楷体_GB2312"/>
          <w:sz w:val="28"/>
          <w:szCs w:val="28"/>
        </w:rPr>
      </w:pPr>
      <w:r>
        <w:rPr>
          <w:rFonts w:hint="eastAsia" w:eastAsia="楷体_GB2312" w:cs="楷体_GB2312"/>
          <w:b/>
          <w:bCs/>
          <w:sz w:val="30"/>
          <w:szCs w:val="30"/>
        </w:rPr>
        <w:t>所在学院</w:t>
      </w:r>
      <w:r>
        <w:rPr>
          <w:rFonts w:hint="eastAsia" w:eastAsia="楷体_GB2312"/>
          <w:b/>
          <w:bCs/>
          <w:sz w:val="28"/>
          <w:szCs w:val="28"/>
          <w:u w:val="single"/>
          <w:lang w:val="en-US" w:eastAsia="zh-CN"/>
        </w:rPr>
        <w:t>计算机学院、软件学院、网络空间安全学院</w:t>
      </w:r>
    </w:p>
    <w:p w14:paraId="15A2C664">
      <w:pPr>
        <w:wordWrap w:val="0"/>
        <w:ind w:firstLine="1780" w:firstLineChars="591"/>
        <w:rPr>
          <w:rFonts w:eastAsia="楷体_GB2312"/>
          <w:b/>
          <w:bCs/>
          <w:sz w:val="30"/>
          <w:szCs w:val="30"/>
          <w:u w:val="single"/>
        </w:rPr>
      </w:pPr>
      <w:r>
        <w:rPr>
          <w:rFonts w:hint="eastAsia" w:eastAsia="楷体_GB2312" w:cs="楷体_GB2312"/>
          <w:b/>
          <w:bCs/>
          <w:sz w:val="30"/>
          <w:szCs w:val="30"/>
        </w:rPr>
        <w:t xml:space="preserve">专 </w:t>
      </w:r>
      <w:r>
        <w:rPr>
          <w:rFonts w:eastAsia="楷体_GB2312" w:cs="楷体_GB2312"/>
          <w:b/>
          <w:bCs/>
          <w:sz w:val="30"/>
          <w:szCs w:val="30"/>
        </w:rPr>
        <w:t xml:space="preserve">   </w:t>
      </w:r>
      <w:r>
        <w:rPr>
          <w:rFonts w:hint="eastAsia" w:eastAsia="楷体_GB2312" w:cs="楷体_GB2312"/>
          <w:b/>
          <w:bCs/>
          <w:sz w:val="30"/>
          <w:szCs w:val="30"/>
        </w:rPr>
        <w:t>业</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计算机科学与技术</w:t>
      </w:r>
      <w:r>
        <w:rPr>
          <w:rFonts w:eastAsia="楷体_GB2312"/>
          <w:b/>
          <w:bCs/>
          <w:sz w:val="30"/>
          <w:szCs w:val="30"/>
          <w:u w:val="single"/>
        </w:rPr>
        <w:t xml:space="preserve">     </w:t>
      </w:r>
    </w:p>
    <w:p w14:paraId="2AECF522">
      <w:pPr>
        <w:wordWrap w:val="0"/>
        <w:ind w:firstLine="1780" w:firstLineChars="591"/>
        <w:rPr>
          <w:rFonts w:eastAsia="楷体_GB2312"/>
          <w:sz w:val="30"/>
          <w:szCs w:val="30"/>
        </w:rPr>
      </w:pPr>
      <w:r>
        <w:rPr>
          <w:rFonts w:hint="eastAsia" w:eastAsia="楷体_GB2312" w:cs="楷体_GB2312"/>
          <w:b/>
          <w:bCs/>
          <w:sz w:val="30"/>
          <w:szCs w:val="30"/>
        </w:rPr>
        <w:t>年级班级</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B220408</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p>
    <w:p w14:paraId="502E79E4">
      <w:pPr>
        <w:wordWrap w:val="0"/>
        <w:ind w:firstLine="1780" w:firstLineChars="591"/>
        <w:rPr>
          <w:rFonts w:eastAsia="楷体_GB2312"/>
          <w:sz w:val="30"/>
          <w:szCs w:val="30"/>
        </w:rPr>
      </w:pPr>
      <w:r>
        <w:rPr>
          <w:rFonts w:hint="eastAsia" w:eastAsia="楷体_GB2312" w:cs="楷体_GB2312"/>
          <w:b/>
          <w:bCs/>
          <w:sz w:val="30"/>
          <w:szCs w:val="30"/>
        </w:rPr>
        <w:t>学</w:t>
      </w:r>
      <w:r>
        <w:rPr>
          <w:rFonts w:eastAsia="楷体_GB2312"/>
          <w:b/>
          <w:bCs/>
          <w:sz w:val="30"/>
          <w:szCs w:val="30"/>
        </w:rPr>
        <w:t xml:space="preserve">    </w:t>
      </w:r>
      <w:r>
        <w:rPr>
          <w:rFonts w:hint="eastAsia" w:eastAsia="楷体_GB2312" w:cs="楷体_GB2312"/>
          <w:b/>
          <w:bCs/>
          <w:sz w:val="30"/>
          <w:szCs w:val="30"/>
        </w:rPr>
        <w:t>号</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B22040807</w:t>
      </w:r>
      <w:r>
        <w:rPr>
          <w:rFonts w:eastAsia="楷体_GB2312"/>
          <w:b/>
          <w:bCs/>
          <w:sz w:val="30"/>
          <w:szCs w:val="30"/>
          <w:u w:val="single"/>
        </w:rPr>
        <w:t xml:space="preserve">         </w:t>
      </w:r>
    </w:p>
    <w:p w14:paraId="4082DDC5">
      <w:pPr>
        <w:wordWrap w:val="0"/>
        <w:ind w:firstLine="1780" w:firstLineChars="591"/>
        <w:rPr>
          <w:rFonts w:eastAsia="楷体_GB2312"/>
          <w:b/>
          <w:bCs/>
          <w:sz w:val="30"/>
          <w:szCs w:val="30"/>
          <w:u w:val="single"/>
        </w:rPr>
      </w:pPr>
      <w:r>
        <w:rPr>
          <w:rFonts w:hint="eastAsia" w:eastAsia="楷体_GB2312" w:cs="楷体_GB2312"/>
          <w:b/>
          <w:bCs/>
          <w:sz w:val="30"/>
          <w:szCs w:val="30"/>
        </w:rPr>
        <w:t>姓</w:t>
      </w:r>
      <w:r>
        <w:rPr>
          <w:rFonts w:eastAsia="楷体_GB2312"/>
          <w:b/>
          <w:bCs/>
          <w:sz w:val="30"/>
          <w:szCs w:val="30"/>
        </w:rPr>
        <w:t xml:space="preserve">   </w:t>
      </w:r>
      <w:r>
        <w:rPr>
          <w:rFonts w:hint="eastAsia" w:eastAsia="楷体_GB2312"/>
          <w:b/>
          <w:bCs/>
          <w:sz w:val="30"/>
          <w:szCs w:val="30"/>
        </w:rPr>
        <w:t xml:space="preserve"> </w:t>
      </w:r>
      <w:r>
        <w:rPr>
          <w:rFonts w:hint="eastAsia" w:eastAsia="楷体_GB2312" w:cs="楷体_GB2312"/>
          <w:b/>
          <w:bCs/>
          <w:sz w:val="30"/>
          <w:szCs w:val="30"/>
        </w:rPr>
        <w:t>名</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甘耀炜</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p>
    <w:p w14:paraId="5E10DF7A">
      <w:pPr>
        <w:wordWrap w:val="0"/>
        <w:ind w:firstLine="1780" w:firstLineChars="591"/>
        <w:rPr>
          <w:rFonts w:eastAsia="楷体_GB2312"/>
          <w:sz w:val="30"/>
          <w:szCs w:val="30"/>
        </w:rPr>
      </w:pPr>
      <w:r>
        <w:rPr>
          <w:rFonts w:hint="eastAsia" w:eastAsia="楷体_GB2312" w:cs="楷体_GB2312"/>
          <w:b/>
          <w:bCs/>
          <w:sz w:val="30"/>
          <w:szCs w:val="30"/>
        </w:rPr>
        <w:t>授课教师</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r>
        <w:rPr>
          <w:rFonts w:hint="eastAsia" w:eastAsia="楷体_GB2312"/>
          <w:b/>
          <w:bCs/>
          <w:sz w:val="30"/>
          <w:szCs w:val="30"/>
          <w:u w:val="single"/>
          <w:lang w:val="en-US" w:eastAsia="zh-CN"/>
        </w:rPr>
        <w:t xml:space="preserve"> 张莹     </w:t>
      </w:r>
      <w:r>
        <w:rPr>
          <w:rFonts w:hint="eastAsia" w:eastAsia="楷体_GB2312"/>
          <w:b/>
          <w:bCs/>
          <w:sz w:val="30"/>
          <w:szCs w:val="30"/>
          <w:u w:val="single"/>
        </w:rPr>
        <w:t xml:space="preserve">   </w:t>
      </w:r>
      <w:r>
        <w:rPr>
          <w:rFonts w:eastAsia="楷体_GB2312"/>
          <w:b/>
          <w:bCs/>
          <w:sz w:val="30"/>
          <w:szCs w:val="30"/>
          <w:u w:val="single"/>
        </w:rPr>
        <w:t xml:space="preserve">       </w:t>
      </w:r>
    </w:p>
    <w:p w14:paraId="3ABD6F57">
      <w:pPr>
        <w:wordWrap w:val="0"/>
        <w:rPr>
          <w:sz w:val="18"/>
          <w:szCs w:val="18"/>
        </w:rPr>
      </w:pPr>
    </w:p>
    <w:p w14:paraId="796B9C2D">
      <w:pPr>
        <w:ind w:firstLine="3330" w:firstLineChars="1850"/>
        <w:rPr>
          <w:sz w:val="18"/>
          <w:szCs w:val="18"/>
        </w:rPr>
      </w:pPr>
    </w:p>
    <w:p w14:paraId="7B70F5A5">
      <w:pPr>
        <w:rPr>
          <w:sz w:val="18"/>
          <w:szCs w:val="18"/>
        </w:rPr>
      </w:pPr>
    </w:p>
    <w:p w14:paraId="20717014">
      <w:pPr>
        <w:spacing w:line="360" w:lineRule="auto"/>
        <w:jc w:val="center"/>
        <w:rPr>
          <w:rFonts w:ascii="仿宋" w:hAnsi="仿宋" w:eastAsia="仿宋"/>
          <w:b/>
          <w:bCs/>
          <w:sz w:val="30"/>
          <w:szCs w:val="30"/>
        </w:rPr>
      </w:pPr>
      <w:r>
        <w:rPr>
          <w:rFonts w:hint="eastAsia" w:ascii="仿宋" w:hAnsi="仿宋" w:eastAsia="仿宋" w:cs="黑体"/>
          <w:b/>
          <w:bCs/>
          <w:sz w:val="30"/>
          <w:szCs w:val="30"/>
        </w:rPr>
        <w:t xml:space="preserve"> </w:t>
      </w:r>
      <w:r>
        <w:rPr>
          <w:rFonts w:ascii="仿宋" w:hAnsi="仿宋" w:eastAsia="仿宋" w:cs="黑体"/>
          <w:b/>
          <w:bCs/>
          <w:sz w:val="30"/>
          <w:szCs w:val="30"/>
        </w:rPr>
        <w:t xml:space="preserve">   </w:t>
      </w:r>
      <w:r>
        <w:rPr>
          <w:rFonts w:hint="eastAsia" w:ascii="仿宋" w:hAnsi="仿宋" w:eastAsia="仿宋" w:cs="黑体"/>
          <w:b/>
          <w:bCs/>
          <w:sz w:val="30"/>
          <w:szCs w:val="30"/>
        </w:rPr>
        <w:t>社会与人口</w:t>
      </w:r>
      <w:r>
        <w:rPr>
          <w:rFonts w:hint="eastAsia" w:ascii="仿宋" w:hAnsi="仿宋" w:eastAsia="仿宋"/>
          <w:b/>
          <w:bCs/>
          <w:sz w:val="30"/>
          <w:szCs w:val="30"/>
        </w:rPr>
        <w:t>学院</w:t>
      </w:r>
    </w:p>
    <w:p w14:paraId="68C6FD4C">
      <w:pPr>
        <w:spacing w:line="360" w:lineRule="auto"/>
        <w:jc w:val="center"/>
        <w:rPr>
          <w:rFonts w:ascii="仿宋" w:hAnsi="仿宋" w:eastAsia="仿宋"/>
          <w:sz w:val="24"/>
          <w:szCs w:val="24"/>
        </w:rPr>
      </w:pPr>
      <w:r>
        <w:rPr>
          <w:rFonts w:ascii="仿宋" w:hAnsi="仿宋" w:eastAsia="仿宋"/>
          <w:sz w:val="24"/>
          <w:szCs w:val="24"/>
        </w:rPr>
        <w:t xml:space="preserve"> </w:t>
      </w:r>
      <w:r>
        <w:rPr>
          <w:rFonts w:hint="eastAsia" w:ascii="仿宋" w:hAnsi="仿宋" w:eastAsia="仿宋"/>
          <w:sz w:val="24"/>
          <w:szCs w:val="24"/>
          <w:lang w:val="en-US" w:eastAsia="zh-CN"/>
        </w:rPr>
        <w:t>2025</w:t>
      </w:r>
      <w:r>
        <w:rPr>
          <w:rFonts w:hint="eastAsia" w:ascii="仿宋" w:hAnsi="仿宋" w:eastAsia="仿宋"/>
          <w:sz w:val="24"/>
          <w:szCs w:val="24"/>
        </w:rPr>
        <w:t xml:space="preserve">年 </w:t>
      </w:r>
      <w:r>
        <w:rPr>
          <w:rFonts w:ascii="仿宋" w:hAnsi="仿宋" w:eastAsia="仿宋"/>
          <w:sz w:val="24"/>
          <w:szCs w:val="24"/>
        </w:rPr>
        <w:t xml:space="preserve"> </w:t>
      </w:r>
      <w:r>
        <w:rPr>
          <w:rFonts w:hint="eastAsia" w:ascii="仿宋" w:hAnsi="仿宋" w:eastAsia="仿宋"/>
          <w:sz w:val="24"/>
          <w:szCs w:val="24"/>
          <w:lang w:val="en-US" w:eastAsia="zh-CN"/>
        </w:rPr>
        <w:t>12</w:t>
      </w:r>
      <w:r>
        <w:rPr>
          <w:rFonts w:ascii="仿宋" w:hAnsi="仿宋" w:eastAsia="仿宋"/>
          <w:sz w:val="24"/>
          <w:szCs w:val="24"/>
        </w:rPr>
        <w:t xml:space="preserve"> </w:t>
      </w:r>
      <w:r>
        <w:rPr>
          <w:rFonts w:hint="eastAsia" w:ascii="仿宋" w:hAnsi="仿宋" w:eastAsia="仿宋"/>
          <w:sz w:val="24"/>
          <w:szCs w:val="24"/>
        </w:rPr>
        <w:t xml:space="preserve">月 </w:t>
      </w:r>
      <w:r>
        <w:rPr>
          <w:rFonts w:hint="eastAsia" w:ascii="仿宋" w:hAnsi="仿宋" w:eastAsia="仿宋"/>
          <w:sz w:val="24"/>
          <w:szCs w:val="24"/>
          <w:lang w:val="en-US" w:eastAsia="zh-CN"/>
        </w:rPr>
        <w:t>25</w:t>
      </w:r>
      <w:r>
        <w:rPr>
          <w:rFonts w:ascii="仿宋" w:hAnsi="仿宋" w:eastAsia="仿宋"/>
          <w:sz w:val="24"/>
          <w:szCs w:val="24"/>
        </w:rPr>
        <w:t xml:space="preserve">  </w:t>
      </w:r>
      <w:r>
        <w:rPr>
          <w:rFonts w:hint="eastAsia" w:ascii="仿宋" w:hAnsi="仿宋" w:eastAsia="仿宋"/>
          <w:sz w:val="24"/>
          <w:szCs w:val="24"/>
        </w:rPr>
        <w:t>日</w:t>
      </w:r>
    </w:p>
    <w:p w14:paraId="5D09BF85">
      <w:pPr>
        <w:widowControl/>
        <w:jc w:val="left"/>
        <w:rPr>
          <w:rFonts w:ascii="仿宋" w:hAnsi="仿宋" w:eastAsia="仿宋"/>
          <w:sz w:val="30"/>
          <w:szCs w:val="30"/>
        </w:rPr>
      </w:pPr>
      <w:r>
        <w:rPr>
          <w:rFonts w:ascii="仿宋" w:hAnsi="仿宋" w:eastAsia="仿宋"/>
          <w:sz w:val="30"/>
          <w:szCs w:val="30"/>
        </w:rPr>
        <w:br w:type="page"/>
      </w:r>
    </w:p>
    <w:p w14:paraId="60E4B537">
      <w:pPr>
        <w:spacing w:before="156" w:beforeLines="50" w:after="156" w:afterLines="50" w:line="360" w:lineRule="auto"/>
        <w:ind w:firstLine="960" w:firstLineChars="300"/>
        <w:jc w:val="center"/>
        <w:rPr>
          <w:rFonts w:ascii="黑体" w:hAnsi="黑体" w:eastAsia="黑体"/>
          <w:bCs/>
          <w:sz w:val="32"/>
          <w:szCs w:val="32"/>
        </w:rPr>
      </w:pPr>
      <w:r>
        <w:rPr>
          <w:rFonts w:hint="eastAsia" w:ascii="黑体" w:hAnsi="黑体" w:eastAsia="黑体" w:cs="黑体"/>
          <w:bCs/>
          <w:sz w:val="32"/>
          <w:szCs w:val="32"/>
        </w:rPr>
        <w:t>《工程与社会》课程论文成绩评定表</w:t>
      </w:r>
    </w:p>
    <w:tbl>
      <w:tblPr>
        <w:tblStyle w:val="5"/>
        <w:tblW w:w="97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7"/>
        <w:gridCol w:w="1398"/>
        <w:gridCol w:w="1178"/>
        <w:gridCol w:w="1766"/>
        <w:gridCol w:w="1134"/>
        <w:gridCol w:w="1052"/>
        <w:gridCol w:w="834"/>
        <w:gridCol w:w="830"/>
      </w:tblGrid>
      <w:tr w14:paraId="2EAB1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14:paraId="31125FC1">
            <w:pPr>
              <w:tabs>
                <w:tab w:val="left" w:pos="6870"/>
              </w:tabs>
              <w:jc w:val="center"/>
              <w:rPr>
                <w:rFonts w:ascii="黑体" w:hAnsi="黑体" w:eastAsia="黑体"/>
              </w:rPr>
            </w:pPr>
            <w:r>
              <w:rPr>
                <w:rFonts w:hint="eastAsia" w:ascii="黑体" w:hAnsi="黑体" w:eastAsia="黑体" w:cs="宋体"/>
              </w:rPr>
              <w:t>论文题目</w:t>
            </w:r>
          </w:p>
        </w:tc>
        <w:tc>
          <w:tcPr>
            <w:tcW w:w="8192" w:type="dxa"/>
            <w:gridSpan w:val="7"/>
            <w:tcBorders>
              <w:top w:val="single" w:color="auto" w:sz="4" w:space="0"/>
              <w:left w:val="single" w:color="auto" w:sz="4" w:space="0"/>
              <w:bottom w:val="single" w:color="auto" w:sz="4" w:space="0"/>
              <w:right w:val="single" w:color="auto" w:sz="4" w:space="0"/>
            </w:tcBorders>
            <w:vAlign w:val="center"/>
          </w:tcPr>
          <w:p w14:paraId="7F898C94">
            <w:pPr>
              <w:tabs>
                <w:tab w:val="left" w:pos="6870"/>
              </w:tabs>
              <w:jc w:val="center"/>
              <w:rPr>
                <w:rFonts w:ascii="仿宋" w:hAnsi="仿宋" w:eastAsia="仿宋"/>
                <w:color w:val="FF0000"/>
              </w:rPr>
            </w:pPr>
            <w:r>
              <w:rPr>
                <w:rFonts w:hint="eastAsia" w:ascii="仿宋" w:hAnsi="仿宋" w:eastAsia="仿宋"/>
              </w:rPr>
              <w:t xml:space="preserve">社交媒体大数据赋能公共危机管理：应用、挑战与协同治理路径 </w:t>
            </w:r>
          </w:p>
        </w:tc>
      </w:tr>
      <w:tr w14:paraId="5AF2C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14:paraId="3188FA46">
            <w:pPr>
              <w:tabs>
                <w:tab w:val="left" w:pos="6870"/>
              </w:tabs>
              <w:jc w:val="center"/>
              <w:rPr>
                <w:rFonts w:ascii="黑体" w:hAnsi="黑体" w:eastAsia="黑体"/>
              </w:rPr>
            </w:pPr>
            <w:r>
              <w:rPr>
                <w:rFonts w:hint="eastAsia" w:ascii="黑体" w:hAnsi="黑体" w:eastAsia="黑体" w:cs="宋体"/>
              </w:rPr>
              <w:t>学生姓名</w:t>
            </w:r>
          </w:p>
        </w:tc>
        <w:tc>
          <w:tcPr>
            <w:tcW w:w="1398" w:type="dxa"/>
            <w:tcBorders>
              <w:top w:val="single" w:color="auto" w:sz="4" w:space="0"/>
              <w:left w:val="single" w:color="auto" w:sz="4" w:space="0"/>
              <w:bottom w:val="single" w:color="auto" w:sz="4" w:space="0"/>
              <w:right w:val="single" w:color="auto" w:sz="4" w:space="0"/>
            </w:tcBorders>
            <w:vAlign w:val="center"/>
          </w:tcPr>
          <w:p w14:paraId="53C1B770">
            <w:pPr>
              <w:tabs>
                <w:tab w:val="left" w:pos="6870"/>
              </w:tabs>
              <w:jc w:val="center"/>
              <w:rPr>
                <w:rFonts w:ascii="仿宋" w:hAnsi="仿宋" w:eastAsia="仿宋"/>
              </w:rPr>
            </w:pPr>
            <w:r>
              <w:rPr>
                <w:rFonts w:hint="eastAsia" w:ascii="仿宋" w:hAnsi="仿宋" w:eastAsia="仿宋"/>
                <w:lang w:val="en-US" w:eastAsia="zh-CN"/>
              </w:rPr>
              <w:t>甘耀炜</w:t>
            </w:r>
            <w:r>
              <w:rPr>
                <w:rFonts w:hint="eastAsia" w:ascii="仿宋" w:hAnsi="仿宋" w:eastAsia="仿宋"/>
              </w:rPr>
              <w:t xml:space="preserve"> </w:t>
            </w:r>
          </w:p>
        </w:tc>
        <w:tc>
          <w:tcPr>
            <w:tcW w:w="1178" w:type="dxa"/>
            <w:tcBorders>
              <w:top w:val="single" w:color="auto" w:sz="4" w:space="0"/>
              <w:left w:val="single" w:color="auto" w:sz="4" w:space="0"/>
              <w:bottom w:val="single" w:color="auto" w:sz="4" w:space="0"/>
              <w:right w:val="single" w:color="auto" w:sz="4" w:space="0"/>
            </w:tcBorders>
            <w:vAlign w:val="center"/>
          </w:tcPr>
          <w:p w14:paraId="6296E9F9">
            <w:pPr>
              <w:tabs>
                <w:tab w:val="left" w:pos="6870"/>
              </w:tabs>
              <w:jc w:val="center"/>
              <w:rPr>
                <w:rFonts w:ascii="黑体" w:hAnsi="黑体" w:eastAsia="黑体"/>
              </w:rPr>
            </w:pPr>
            <w:r>
              <w:rPr>
                <w:rFonts w:hint="eastAsia" w:ascii="黑体" w:hAnsi="黑体" w:eastAsia="黑体" w:cs="宋体"/>
              </w:rPr>
              <w:t>班级学号</w:t>
            </w:r>
          </w:p>
        </w:tc>
        <w:tc>
          <w:tcPr>
            <w:tcW w:w="1766" w:type="dxa"/>
            <w:tcBorders>
              <w:top w:val="single" w:color="auto" w:sz="4" w:space="0"/>
              <w:left w:val="single" w:color="auto" w:sz="4" w:space="0"/>
              <w:bottom w:val="single" w:color="auto" w:sz="4" w:space="0"/>
              <w:right w:val="single" w:color="auto" w:sz="4" w:space="0"/>
            </w:tcBorders>
            <w:vAlign w:val="center"/>
          </w:tcPr>
          <w:p w14:paraId="6B5DA4AD">
            <w:pPr>
              <w:tabs>
                <w:tab w:val="left" w:pos="6870"/>
              </w:tabs>
              <w:jc w:val="center"/>
              <w:rPr>
                <w:rFonts w:ascii="仿宋" w:hAnsi="仿宋" w:eastAsia="仿宋"/>
              </w:rPr>
            </w:pPr>
            <w:r>
              <w:rPr>
                <w:rFonts w:hint="eastAsia" w:ascii="仿宋" w:hAnsi="仿宋" w:eastAsia="仿宋"/>
                <w:lang w:val="en-US" w:eastAsia="zh-CN"/>
              </w:rPr>
              <w:t>B22040807</w:t>
            </w:r>
            <w:r>
              <w:rPr>
                <w:rFonts w:ascii="仿宋" w:hAnsi="仿宋" w:eastAsia="仿宋"/>
              </w:rPr>
              <w:t xml:space="preserve">  </w:t>
            </w:r>
          </w:p>
        </w:tc>
        <w:tc>
          <w:tcPr>
            <w:tcW w:w="1134" w:type="dxa"/>
            <w:tcBorders>
              <w:top w:val="single" w:color="auto" w:sz="4" w:space="0"/>
              <w:left w:val="single" w:color="auto" w:sz="4" w:space="0"/>
              <w:bottom w:val="single" w:color="auto" w:sz="4" w:space="0"/>
              <w:right w:val="single" w:color="auto" w:sz="4" w:space="0"/>
            </w:tcBorders>
            <w:vAlign w:val="center"/>
          </w:tcPr>
          <w:p w14:paraId="2279A5C6">
            <w:pPr>
              <w:tabs>
                <w:tab w:val="left" w:pos="6870"/>
              </w:tabs>
              <w:jc w:val="center"/>
              <w:rPr>
                <w:rFonts w:ascii="黑体" w:hAnsi="黑体" w:eastAsia="黑体"/>
              </w:rPr>
            </w:pPr>
            <w:r>
              <w:rPr>
                <w:rFonts w:hint="eastAsia" w:ascii="黑体" w:hAnsi="黑体" w:eastAsia="黑体" w:cs="宋体"/>
              </w:rPr>
              <w:t>专 业</w:t>
            </w:r>
          </w:p>
        </w:tc>
        <w:tc>
          <w:tcPr>
            <w:tcW w:w="2716" w:type="dxa"/>
            <w:gridSpan w:val="3"/>
            <w:tcBorders>
              <w:top w:val="single" w:color="auto" w:sz="4" w:space="0"/>
              <w:left w:val="single" w:color="auto" w:sz="4" w:space="0"/>
              <w:bottom w:val="single" w:color="auto" w:sz="4" w:space="0"/>
              <w:right w:val="single" w:color="auto" w:sz="4" w:space="0"/>
            </w:tcBorders>
            <w:vAlign w:val="center"/>
          </w:tcPr>
          <w:p w14:paraId="3BD8893D">
            <w:pPr>
              <w:tabs>
                <w:tab w:val="left" w:pos="6870"/>
              </w:tabs>
              <w:jc w:val="center"/>
              <w:rPr>
                <w:rFonts w:ascii="仿宋" w:hAnsi="仿宋" w:eastAsia="仿宋"/>
                <w:color w:val="FF0000"/>
              </w:rPr>
            </w:pPr>
            <w:r>
              <w:rPr>
                <w:rFonts w:hint="eastAsia" w:ascii="仿宋" w:hAnsi="仿宋" w:eastAsia="仿宋"/>
                <w:lang w:val="en-US" w:eastAsia="zh-CN"/>
              </w:rPr>
              <w:t>计算机科学与技术</w:t>
            </w:r>
            <w:r>
              <w:rPr>
                <w:rFonts w:hint="eastAsia" w:ascii="仿宋" w:hAnsi="仿宋" w:eastAsia="仿宋"/>
              </w:rPr>
              <w:t xml:space="preserve"> </w:t>
            </w:r>
          </w:p>
        </w:tc>
      </w:tr>
      <w:tr w14:paraId="13BC5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1A3CA3F8">
            <w:pPr>
              <w:tabs>
                <w:tab w:val="left" w:pos="6870"/>
              </w:tabs>
              <w:jc w:val="center"/>
              <w:rPr>
                <w:rFonts w:ascii="黑体" w:hAnsi="黑体" w:eastAsia="黑体"/>
              </w:rPr>
            </w:pPr>
            <w:r>
              <w:rPr>
                <w:rFonts w:hint="eastAsia" w:ascii="黑体" w:hAnsi="黑体" w:eastAsia="黑体"/>
              </w:rPr>
              <w:t>评分内容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409A3F78">
            <w:pPr>
              <w:tabs>
                <w:tab w:val="left" w:pos="6870"/>
              </w:tabs>
              <w:jc w:val="center"/>
              <w:rPr>
                <w:rFonts w:ascii="楷体" w:hAnsi="楷体" w:eastAsia="楷体"/>
                <w:color w:val="000000"/>
              </w:rPr>
            </w:pPr>
            <w:r>
              <w:rPr>
                <w:rFonts w:hint="eastAsia" w:ascii="楷体" w:hAnsi="楷体" w:eastAsia="楷体"/>
                <w:color w:val="000000"/>
              </w:rPr>
              <w:t>评分标准</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210DA6A4">
            <w:pPr>
              <w:tabs>
                <w:tab w:val="left" w:pos="6870"/>
              </w:tabs>
              <w:jc w:val="center"/>
              <w:rPr>
                <w:rFonts w:ascii="楷体" w:hAnsi="楷体" w:eastAsia="楷体"/>
                <w:color w:val="000000"/>
              </w:rPr>
            </w:pPr>
            <w:r>
              <w:rPr>
                <w:rFonts w:hint="eastAsia" w:ascii="楷体" w:hAnsi="楷体" w:eastAsia="楷体"/>
                <w:color w:val="000000"/>
              </w:rPr>
              <w:t>总分</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25CC44EF">
            <w:pPr>
              <w:tabs>
                <w:tab w:val="left" w:pos="6870"/>
              </w:tabs>
              <w:jc w:val="center"/>
              <w:rPr>
                <w:rFonts w:ascii="楷体" w:hAnsi="楷体" w:eastAsia="楷体"/>
                <w:color w:val="000000"/>
              </w:rPr>
            </w:pPr>
            <w:r>
              <w:rPr>
                <w:rFonts w:hint="eastAsia" w:ascii="楷体" w:hAnsi="楷体" w:eastAsia="楷体"/>
                <w:color w:val="000000"/>
              </w:rPr>
              <w:t>评分</w:t>
            </w:r>
          </w:p>
        </w:tc>
      </w:tr>
      <w:tr w14:paraId="6D7C7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2A4AB94F">
            <w:pPr>
              <w:tabs>
                <w:tab w:val="left" w:pos="6870"/>
              </w:tabs>
              <w:jc w:val="center"/>
              <w:rPr>
                <w:rFonts w:ascii="黑体" w:hAnsi="黑体" w:eastAsia="黑体"/>
              </w:rPr>
            </w:pPr>
            <w:r>
              <w:rPr>
                <w:rFonts w:ascii="黑体" w:hAnsi="黑体" w:eastAsia="黑体"/>
              </w:rPr>
              <w:t>论文选题</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308C4001">
            <w:pPr>
              <w:tabs>
                <w:tab w:val="left" w:pos="6870"/>
              </w:tabs>
              <w:rPr>
                <w:rFonts w:ascii="仿宋" w:hAnsi="仿宋" w:eastAsia="仿宋"/>
                <w:color w:val="000000"/>
              </w:rPr>
            </w:pPr>
            <w:r>
              <w:rPr>
                <w:rFonts w:hint="eastAsia" w:ascii="仿宋" w:hAnsi="仿宋" w:eastAsia="仿宋"/>
                <w:color w:val="000000"/>
              </w:rPr>
              <w:t>结合本课程授课内容与个人兴趣自行选题，标题明确、简练，既要体现出“工程”，也要体现出“社会”</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01063ED6">
            <w:pPr>
              <w:tabs>
                <w:tab w:val="left" w:pos="6870"/>
              </w:tabs>
              <w:jc w:val="center"/>
              <w:rPr>
                <w:rFonts w:ascii="仿宋" w:hAnsi="仿宋" w:eastAsia="仿宋"/>
                <w:b/>
                <w:color w:val="000000"/>
              </w:rPr>
            </w:pPr>
            <w:r>
              <w:rPr>
                <w:rFonts w:hint="eastAsia" w:ascii="仿宋" w:hAnsi="仿宋" w:eastAsia="仿宋"/>
                <w:b/>
                <w:color w:val="000000"/>
              </w:rPr>
              <w:t>10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0C2C4F03">
            <w:pPr>
              <w:tabs>
                <w:tab w:val="left" w:pos="6870"/>
              </w:tabs>
              <w:jc w:val="center"/>
              <w:rPr>
                <w:rFonts w:ascii="仿宋" w:hAnsi="仿宋" w:eastAsia="仿宋"/>
                <w:color w:val="000000"/>
              </w:rPr>
            </w:pPr>
            <w:r>
              <w:rPr>
                <w:rFonts w:ascii="仿宋" w:hAnsi="仿宋" w:eastAsia="仿宋"/>
                <w:color w:val="000000"/>
              </w:rPr>
              <w:t xml:space="preserve"> </w:t>
            </w:r>
          </w:p>
        </w:tc>
      </w:tr>
      <w:tr w14:paraId="4E876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44DD61A5">
            <w:pPr>
              <w:tabs>
                <w:tab w:val="left" w:pos="6870"/>
              </w:tabs>
              <w:jc w:val="center"/>
              <w:rPr>
                <w:rFonts w:ascii="黑体" w:hAnsi="黑体" w:eastAsia="黑体"/>
              </w:rPr>
            </w:pPr>
            <w:r>
              <w:rPr>
                <w:rFonts w:hint="eastAsia" w:ascii="黑体" w:hAnsi="黑体" w:eastAsia="黑体"/>
              </w:rPr>
              <w:t>摘   要</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2F4F3DB0">
            <w:pPr>
              <w:tabs>
                <w:tab w:val="left" w:pos="6870"/>
              </w:tabs>
              <w:rPr>
                <w:rFonts w:ascii="仿宋" w:hAnsi="仿宋" w:eastAsia="仿宋"/>
                <w:color w:val="000000"/>
              </w:rPr>
            </w:pPr>
            <w:r>
              <w:rPr>
                <w:rFonts w:hint="eastAsia" w:ascii="仿宋" w:hAnsi="仿宋" w:eastAsia="仿宋"/>
                <w:color w:val="000000"/>
              </w:rPr>
              <w:t>概括全文主要内容，体现核心观点</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762163BD">
            <w:pPr>
              <w:tabs>
                <w:tab w:val="left" w:pos="6870"/>
              </w:tabs>
              <w:jc w:val="center"/>
              <w:rPr>
                <w:rFonts w:ascii="仿宋" w:hAnsi="仿宋" w:eastAsia="仿宋"/>
                <w:b/>
                <w:color w:val="000000"/>
              </w:rPr>
            </w:pPr>
            <w:r>
              <w:rPr>
                <w:rFonts w:ascii="仿宋" w:hAnsi="仿宋" w:eastAsia="仿宋"/>
                <w:b/>
                <w:color w:val="000000"/>
              </w:rPr>
              <w:t>1</w:t>
            </w:r>
            <w:r>
              <w:rPr>
                <w:rFonts w:hint="eastAsia" w:ascii="仿宋" w:hAnsi="仿宋" w:eastAsia="仿宋"/>
                <w:b/>
                <w:color w:val="000000"/>
              </w:rPr>
              <w:t>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66AA1949">
            <w:pPr>
              <w:tabs>
                <w:tab w:val="left" w:pos="6870"/>
              </w:tabs>
              <w:jc w:val="center"/>
              <w:rPr>
                <w:rFonts w:ascii="仿宋" w:hAnsi="仿宋" w:eastAsia="仿宋"/>
                <w:color w:val="000000"/>
              </w:rPr>
            </w:pPr>
            <w:r>
              <w:rPr>
                <w:rFonts w:ascii="仿宋" w:hAnsi="仿宋" w:eastAsia="仿宋"/>
                <w:color w:val="000000"/>
              </w:rPr>
              <w:t xml:space="preserve"> </w:t>
            </w:r>
          </w:p>
        </w:tc>
      </w:tr>
      <w:tr w14:paraId="4D530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735C59B4">
            <w:pPr>
              <w:tabs>
                <w:tab w:val="left" w:pos="6870"/>
              </w:tabs>
              <w:jc w:val="center"/>
              <w:rPr>
                <w:rFonts w:ascii="黑体" w:hAnsi="黑体" w:eastAsia="黑体"/>
              </w:rPr>
            </w:pPr>
            <w:r>
              <w:rPr>
                <w:rFonts w:hint="eastAsia" w:ascii="黑体" w:hAnsi="黑体" w:eastAsia="黑体"/>
              </w:rPr>
              <w:t>正文内容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339D399E">
            <w:pPr>
              <w:tabs>
                <w:tab w:val="left" w:pos="6870"/>
              </w:tabs>
              <w:rPr>
                <w:rFonts w:ascii="仿宋" w:hAnsi="仿宋" w:eastAsia="仿宋"/>
                <w:color w:val="000000"/>
              </w:rPr>
            </w:pPr>
            <w:r>
              <w:rPr>
                <w:rFonts w:hint="eastAsia" w:ascii="仿宋" w:hAnsi="仿宋" w:eastAsia="仿宋"/>
                <w:color w:val="000000"/>
              </w:rPr>
              <w:t>紧扣论文题目，观点鲜明，论证充分，结构合理，能综合运用所学课程知识，分析和解决实际问题。其中必须包含</w:t>
            </w:r>
            <w:r>
              <w:rPr>
                <w:rFonts w:hint="eastAsia" w:ascii="仿宋" w:hAnsi="仿宋" w:eastAsia="仿宋"/>
                <w:b/>
                <w:bCs/>
                <w:color w:val="000000"/>
              </w:rPr>
              <w:t>文献综述</w:t>
            </w:r>
            <w:r>
              <w:rPr>
                <w:rFonts w:hint="eastAsia" w:ascii="仿宋" w:hAnsi="仿宋" w:eastAsia="仿宋"/>
                <w:color w:val="000000"/>
              </w:rPr>
              <w:t>，需检索至少</w:t>
            </w:r>
            <w:r>
              <w:rPr>
                <w:rFonts w:ascii="仿宋" w:hAnsi="仿宋" w:eastAsia="仿宋"/>
                <w:color w:val="000000"/>
              </w:rPr>
              <w:t>10篇中文文献和</w:t>
            </w:r>
            <w:r>
              <w:rPr>
                <w:rFonts w:hint="eastAsia" w:ascii="仿宋" w:hAnsi="仿宋" w:eastAsia="仿宋"/>
                <w:color w:val="000000"/>
              </w:rPr>
              <w:t>1</w:t>
            </w:r>
            <w:r>
              <w:rPr>
                <w:rFonts w:ascii="仿宋" w:hAnsi="仿宋" w:eastAsia="仿宋"/>
                <w:color w:val="000000"/>
              </w:rPr>
              <w:t>篇英文文献</w:t>
            </w:r>
            <w:r>
              <w:rPr>
                <w:rFonts w:hint="eastAsia" w:ascii="仿宋" w:hAnsi="仿宋" w:eastAsia="仿宋"/>
                <w:color w:val="000000"/>
              </w:rPr>
              <w:t>，</w:t>
            </w:r>
            <w:r>
              <w:rPr>
                <w:rFonts w:ascii="仿宋" w:hAnsi="仿宋" w:eastAsia="仿宋"/>
                <w:color w:val="000000"/>
              </w:rPr>
              <w:t>通过整理和分析现有文献，展示对研究主题的熟悉程度和归纳、总结与评述能力。</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31B1CA7D">
            <w:pPr>
              <w:tabs>
                <w:tab w:val="left" w:pos="6870"/>
              </w:tabs>
              <w:jc w:val="center"/>
              <w:rPr>
                <w:rFonts w:ascii="仿宋" w:hAnsi="仿宋" w:eastAsia="仿宋"/>
                <w:b/>
                <w:color w:val="000000"/>
              </w:rPr>
            </w:pPr>
            <w:r>
              <w:rPr>
                <w:rFonts w:ascii="仿宋" w:hAnsi="仿宋" w:eastAsia="仿宋"/>
                <w:b/>
                <w:color w:val="000000"/>
              </w:rPr>
              <w:t>4</w:t>
            </w:r>
            <w:r>
              <w:rPr>
                <w:rFonts w:hint="eastAsia" w:ascii="仿宋" w:hAnsi="仿宋" w:eastAsia="仿宋"/>
                <w:b/>
                <w:color w:val="000000"/>
              </w:rPr>
              <w:t>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09FAE510">
            <w:pPr>
              <w:tabs>
                <w:tab w:val="left" w:pos="6870"/>
              </w:tabs>
              <w:jc w:val="center"/>
              <w:rPr>
                <w:rFonts w:ascii="仿宋" w:hAnsi="仿宋" w:eastAsia="仿宋"/>
                <w:color w:val="000000"/>
              </w:rPr>
            </w:pPr>
            <w:r>
              <w:rPr>
                <w:rFonts w:ascii="仿宋" w:hAnsi="仿宋" w:eastAsia="仿宋"/>
                <w:color w:val="000000"/>
              </w:rPr>
              <w:t xml:space="preserve"> </w:t>
            </w:r>
          </w:p>
        </w:tc>
      </w:tr>
      <w:tr w14:paraId="316D5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36FF61DB">
            <w:pPr>
              <w:tabs>
                <w:tab w:val="left" w:pos="6870"/>
              </w:tabs>
              <w:jc w:val="center"/>
              <w:rPr>
                <w:rFonts w:ascii="黑体" w:hAnsi="黑体" w:eastAsia="黑体"/>
              </w:rPr>
            </w:pPr>
            <w:r>
              <w:rPr>
                <w:rFonts w:hint="eastAsia" w:ascii="黑体" w:hAnsi="黑体" w:eastAsia="黑体"/>
              </w:rPr>
              <w:t>撰写质量</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05950B78">
            <w:pPr>
              <w:tabs>
                <w:tab w:val="left" w:pos="6870"/>
              </w:tabs>
              <w:rPr>
                <w:rFonts w:ascii="仿宋" w:hAnsi="仿宋" w:eastAsia="仿宋"/>
                <w:color w:val="000000"/>
              </w:rPr>
            </w:pPr>
            <w:r>
              <w:rPr>
                <w:rFonts w:hint="eastAsia" w:ascii="仿宋" w:hAnsi="仿宋" w:eastAsia="仿宋"/>
                <w:color w:val="000000"/>
              </w:rPr>
              <w:t>文字通顺，结构完整，字数不少于4</w:t>
            </w:r>
            <w:r>
              <w:rPr>
                <w:rFonts w:ascii="仿宋" w:hAnsi="仿宋" w:eastAsia="仿宋"/>
                <w:color w:val="000000"/>
              </w:rPr>
              <w:t>000</w:t>
            </w:r>
            <w:r>
              <w:rPr>
                <w:rFonts w:hint="eastAsia" w:ascii="仿宋" w:hAnsi="仿宋" w:eastAsia="仿宋"/>
                <w:color w:val="000000"/>
              </w:rPr>
              <w:t>字。参考文献采用</w:t>
            </w:r>
            <w:r>
              <w:rPr>
                <w:rFonts w:ascii="仿宋" w:hAnsi="仿宋" w:eastAsia="仿宋"/>
                <w:color w:val="000000"/>
              </w:rPr>
              <w:t>《南京邮电大学本科毕业论文工作规定》规定的引文格式</w:t>
            </w:r>
            <w:r>
              <w:rPr>
                <w:rFonts w:hint="eastAsia" w:ascii="仿宋" w:hAnsi="仿宋" w:eastAsia="仿宋"/>
                <w:color w:val="000000"/>
              </w:rPr>
              <w:t>。</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050DBD65">
            <w:pPr>
              <w:tabs>
                <w:tab w:val="left" w:pos="6870"/>
              </w:tabs>
              <w:jc w:val="center"/>
              <w:rPr>
                <w:rFonts w:ascii="仿宋" w:hAnsi="仿宋" w:eastAsia="仿宋"/>
                <w:b/>
                <w:color w:val="000000"/>
              </w:rPr>
            </w:pPr>
            <w:r>
              <w:rPr>
                <w:rFonts w:hint="eastAsia" w:ascii="仿宋" w:hAnsi="仿宋" w:eastAsia="仿宋"/>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18F5D34B">
            <w:pPr>
              <w:tabs>
                <w:tab w:val="left" w:pos="6870"/>
              </w:tabs>
              <w:jc w:val="center"/>
              <w:rPr>
                <w:rFonts w:ascii="仿宋" w:hAnsi="仿宋" w:eastAsia="仿宋"/>
                <w:color w:val="000000"/>
              </w:rPr>
            </w:pPr>
            <w:r>
              <w:rPr>
                <w:rFonts w:ascii="仿宋" w:hAnsi="仿宋" w:eastAsia="仿宋"/>
                <w:color w:val="000000"/>
              </w:rPr>
              <w:t xml:space="preserve"> </w:t>
            </w:r>
          </w:p>
        </w:tc>
      </w:tr>
      <w:tr w14:paraId="2436D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101029D1">
            <w:pPr>
              <w:tabs>
                <w:tab w:val="left" w:pos="6870"/>
              </w:tabs>
              <w:jc w:val="center"/>
              <w:rPr>
                <w:rFonts w:ascii="黑体" w:hAnsi="黑体" w:eastAsia="黑体"/>
              </w:rPr>
            </w:pPr>
            <w:r>
              <w:rPr>
                <w:rFonts w:hint="eastAsia" w:ascii="黑体" w:hAnsi="黑体" w:eastAsia="黑体"/>
              </w:rPr>
              <w:t>排版打印</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27EA7C50">
            <w:pPr>
              <w:tabs>
                <w:tab w:val="left" w:pos="6870"/>
              </w:tabs>
              <w:rPr>
                <w:rFonts w:ascii="仿宋" w:hAnsi="仿宋" w:eastAsia="仿宋"/>
                <w:color w:val="000000"/>
              </w:rPr>
            </w:pPr>
            <w:r>
              <w:rPr>
                <w:rFonts w:ascii="仿宋" w:hAnsi="仿宋" w:eastAsia="仿宋"/>
                <w:color w:val="000000"/>
              </w:rPr>
              <w:t>排版规范美观</w:t>
            </w:r>
            <w:r>
              <w:rPr>
                <w:rFonts w:hint="eastAsia" w:ascii="仿宋" w:hAnsi="仿宋" w:eastAsia="仿宋"/>
                <w:color w:val="000000"/>
              </w:rPr>
              <w:t>：</w:t>
            </w:r>
            <w:r>
              <w:rPr>
                <w:rFonts w:ascii="仿宋" w:hAnsi="仿宋" w:eastAsia="仿宋"/>
                <w:color w:val="000000"/>
              </w:rPr>
              <w:t>1.25</w:t>
            </w:r>
            <w:r>
              <w:rPr>
                <w:rFonts w:hint="eastAsia" w:ascii="仿宋" w:hAnsi="仿宋" w:eastAsia="仿宋"/>
                <w:color w:val="000000"/>
              </w:rPr>
              <w:t>倍</w:t>
            </w:r>
            <w:r>
              <w:rPr>
                <w:rFonts w:ascii="仿宋" w:hAnsi="仿宋" w:eastAsia="仿宋"/>
                <w:color w:val="000000"/>
              </w:rPr>
              <w:t>行距，段前段后0行；一级标题选用“</w:t>
            </w:r>
            <w:r>
              <w:rPr>
                <w:rFonts w:hint="eastAsia" w:ascii="仿宋" w:hAnsi="仿宋" w:eastAsia="仿宋"/>
                <w:color w:val="000000"/>
              </w:rPr>
              <w:t>四</w:t>
            </w:r>
            <w:r>
              <w:rPr>
                <w:rFonts w:ascii="仿宋" w:hAnsi="仿宋" w:eastAsia="仿宋"/>
                <w:color w:val="000000"/>
              </w:rPr>
              <w:t>号黑体”，二级标题选用“</w:t>
            </w:r>
            <w:r>
              <w:rPr>
                <w:rFonts w:hint="eastAsia" w:ascii="仿宋" w:hAnsi="仿宋" w:eastAsia="仿宋"/>
                <w:color w:val="000000"/>
              </w:rPr>
              <w:t>小</w:t>
            </w:r>
            <w:r>
              <w:rPr>
                <w:rFonts w:ascii="仿宋" w:hAnsi="仿宋" w:eastAsia="仿宋"/>
                <w:color w:val="000000"/>
              </w:rPr>
              <w:t>四号</w:t>
            </w:r>
            <w:r>
              <w:rPr>
                <w:rFonts w:hint="eastAsia" w:ascii="仿宋" w:hAnsi="仿宋" w:eastAsia="仿宋"/>
                <w:color w:val="000000"/>
              </w:rPr>
              <w:t>宋体</w:t>
            </w:r>
            <w:r>
              <w:rPr>
                <w:rFonts w:ascii="仿宋" w:hAnsi="仿宋" w:eastAsia="仿宋"/>
                <w:color w:val="000000"/>
              </w:rPr>
              <w:t>”</w:t>
            </w:r>
            <w:r>
              <w:rPr>
                <w:rFonts w:hint="eastAsia" w:ascii="仿宋" w:hAnsi="仿宋" w:eastAsia="仿宋"/>
                <w:color w:val="000000"/>
              </w:rPr>
              <w:t>加黑</w:t>
            </w:r>
            <w:r>
              <w:rPr>
                <w:rFonts w:ascii="仿宋" w:hAnsi="仿宋" w:eastAsia="仿宋"/>
                <w:color w:val="000000"/>
              </w:rPr>
              <w:t>；正文内容选用“小四号宋体”；英文字体为“Times New Roman”。报告A4纸</w:t>
            </w:r>
            <w:r>
              <w:rPr>
                <w:rFonts w:hint="eastAsia" w:ascii="仿宋" w:hAnsi="仿宋" w:eastAsia="仿宋"/>
                <w:color w:val="000000"/>
              </w:rPr>
              <w:t>双</w:t>
            </w:r>
            <w:r>
              <w:rPr>
                <w:rFonts w:ascii="仿宋" w:hAnsi="仿宋" w:eastAsia="仿宋"/>
                <w:color w:val="000000"/>
              </w:rPr>
              <w:t>面打印，左侧装订</w:t>
            </w:r>
            <w:r>
              <w:rPr>
                <w:rFonts w:hint="eastAsia" w:ascii="仿宋" w:hAnsi="仿宋" w:eastAsia="仿宋"/>
                <w:color w:val="000000"/>
              </w:rPr>
              <w:t>。</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39515278">
            <w:pPr>
              <w:tabs>
                <w:tab w:val="left" w:pos="6870"/>
              </w:tabs>
              <w:jc w:val="center"/>
              <w:rPr>
                <w:rFonts w:ascii="仿宋" w:hAnsi="仿宋" w:eastAsia="仿宋"/>
                <w:b/>
                <w:color w:val="000000"/>
              </w:rPr>
            </w:pPr>
            <w:r>
              <w:rPr>
                <w:rFonts w:hint="eastAsia" w:ascii="仿宋" w:hAnsi="仿宋" w:eastAsia="仿宋"/>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77C7D160">
            <w:pPr>
              <w:tabs>
                <w:tab w:val="left" w:pos="6870"/>
              </w:tabs>
              <w:jc w:val="center"/>
              <w:rPr>
                <w:rFonts w:ascii="仿宋" w:hAnsi="仿宋" w:eastAsia="仿宋"/>
                <w:color w:val="000000"/>
              </w:rPr>
            </w:pPr>
            <w:r>
              <w:rPr>
                <w:rFonts w:ascii="仿宋" w:hAnsi="仿宋" w:eastAsia="仿宋"/>
                <w:color w:val="000000"/>
              </w:rPr>
              <w:t xml:space="preserve"> </w:t>
            </w:r>
          </w:p>
        </w:tc>
      </w:tr>
      <w:tr w14:paraId="4A601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742CFEEB">
            <w:pPr>
              <w:tabs>
                <w:tab w:val="left" w:pos="6870"/>
              </w:tabs>
              <w:jc w:val="center"/>
              <w:rPr>
                <w:rFonts w:ascii="黑体" w:hAnsi="黑体" w:eastAsia="黑体"/>
              </w:rPr>
            </w:pPr>
            <w:r>
              <w:rPr>
                <w:rFonts w:hint="eastAsia" w:ascii="黑体" w:hAnsi="黑体" w:eastAsia="黑体"/>
              </w:rPr>
              <w:t>总评分</w:t>
            </w: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3A3533B1">
            <w:pPr>
              <w:tabs>
                <w:tab w:val="left" w:pos="6870"/>
              </w:tabs>
              <w:rPr>
                <w:rFonts w:ascii="仿宋" w:hAnsi="仿宋" w:eastAsia="仿宋"/>
                <w:color w:val="000000"/>
              </w:rPr>
            </w:pPr>
          </w:p>
        </w:tc>
      </w:tr>
      <w:tr w14:paraId="1FE35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76FF8670">
            <w:pPr>
              <w:tabs>
                <w:tab w:val="left" w:pos="6870"/>
              </w:tabs>
              <w:jc w:val="center"/>
              <w:rPr>
                <w:rFonts w:ascii="黑体" w:hAnsi="黑体" w:eastAsia="黑体"/>
              </w:rPr>
            </w:pPr>
          </w:p>
          <w:p w14:paraId="04F6F472">
            <w:pPr>
              <w:tabs>
                <w:tab w:val="left" w:pos="6870"/>
              </w:tabs>
              <w:jc w:val="center"/>
              <w:rPr>
                <w:rFonts w:ascii="黑体" w:hAnsi="黑体" w:eastAsia="黑体"/>
              </w:rPr>
            </w:pPr>
          </w:p>
          <w:p w14:paraId="2295F494">
            <w:pPr>
              <w:tabs>
                <w:tab w:val="left" w:pos="6870"/>
              </w:tabs>
              <w:jc w:val="center"/>
              <w:rPr>
                <w:rFonts w:ascii="黑体" w:hAnsi="黑体" w:eastAsia="黑体"/>
              </w:rPr>
            </w:pPr>
          </w:p>
          <w:p w14:paraId="6B88E757">
            <w:pPr>
              <w:tabs>
                <w:tab w:val="left" w:pos="6870"/>
              </w:tabs>
              <w:jc w:val="center"/>
              <w:rPr>
                <w:rFonts w:ascii="黑体" w:hAnsi="黑体" w:eastAsia="黑体"/>
              </w:rPr>
            </w:pPr>
          </w:p>
          <w:p w14:paraId="5F6D0956">
            <w:pPr>
              <w:tabs>
                <w:tab w:val="left" w:pos="6870"/>
              </w:tabs>
              <w:jc w:val="center"/>
              <w:rPr>
                <w:rFonts w:ascii="黑体" w:hAnsi="黑体" w:eastAsia="黑体"/>
              </w:rPr>
            </w:pPr>
          </w:p>
          <w:p w14:paraId="547A6B45">
            <w:pPr>
              <w:tabs>
                <w:tab w:val="left" w:pos="6870"/>
              </w:tabs>
              <w:jc w:val="center"/>
              <w:rPr>
                <w:rFonts w:ascii="黑体" w:hAnsi="黑体" w:eastAsia="黑体"/>
              </w:rPr>
            </w:pPr>
          </w:p>
          <w:p w14:paraId="03968137">
            <w:pPr>
              <w:tabs>
                <w:tab w:val="left" w:pos="6870"/>
              </w:tabs>
              <w:jc w:val="center"/>
              <w:rPr>
                <w:rFonts w:ascii="黑体" w:hAnsi="黑体" w:eastAsia="黑体"/>
              </w:rPr>
            </w:pPr>
            <w:r>
              <w:rPr>
                <w:rFonts w:hint="eastAsia" w:ascii="黑体" w:hAnsi="黑体" w:eastAsia="黑体"/>
              </w:rPr>
              <w:t>任课教师</w:t>
            </w:r>
          </w:p>
          <w:p w14:paraId="477271D9">
            <w:pPr>
              <w:tabs>
                <w:tab w:val="left" w:pos="6870"/>
              </w:tabs>
              <w:jc w:val="center"/>
              <w:rPr>
                <w:rFonts w:ascii="黑体" w:hAnsi="黑体" w:eastAsia="黑体"/>
              </w:rPr>
            </w:pPr>
            <w:r>
              <w:rPr>
                <w:rFonts w:hint="eastAsia" w:ascii="黑体" w:hAnsi="黑体" w:eastAsia="黑体"/>
              </w:rPr>
              <w:t>评阅意见</w:t>
            </w:r>
          </w:p>
          <w:p w14:paraId="4259BFEC">
            <w:pPr>
              <w:rPr>
                <w:rFonts w:ascii="黑体" w:hAnsi="黑体" w:eastAsia="黑体"/>
              </w:rPr>
            </w:pPr>
          </w:p>
          <w:p w14:paraId="3E948D72">
            <w:pPr>
              <w:rPr>
                <w:rFonts w:ascii="黑体" w:hAnsi="黑体" w:eastAsia="黑体"/>
              </w:rPr>
            </w:pPr>
          </w:p>
          <w:p w14:paraId="71855B4A">
            <w:pPr>
              <w:rPr>
                <w:rFonts w:ascii="黑体" w:hAnsi="黑体" w:eastAsia="黑体"/>
              </w:rPr>
            </w:pPr>
          </w:p>
          <w:p w14:paraId="361BBF48">
            <w:pPr>
              <w:rPr>
                <w:rFonts w:ascii="黑体" w:hAnsi="黑体" w:eastAsia="黑体"/>
              </w:rPr>
            </w:pPr>
          </w:p>
          <w:p w14:paraId="283BF7BF">
            <w:pPr>
              <w:rPr>
                <w:rFonts w:ascii="黑体" w:hAnsi="黑体" w:eastAsia="黑体"/>
              </w:rPr>
            </w:pPr>
          </w:p>
          <w:p w14:paraId="065C3378">
            <w:pPr>
              <w:rPr>
                <w:rFonts w:ascii="黑体" w:hAnsi="黑体" w:eastAsia="黑体"/>
              </w:rPr>
            </w:pPr>
          </w:p>
          <w:p w14:paraId="4728BAC1">
            <w:pPr>
              <w:rPr>
                <w:rFonts w:ascii="黑体" w:hAnsi="黑体" w:eastAsia="黑体"/>
              </w:rPr>
            </w:pPr>
          </w:p>
          <w:p w14:paraId="37A6163D">
            <w:pPr>
              <w:rPr>
                <w:rFonts w:ascii="黑体" w:hAnsi="黑体" w:eastAsia="黑体"/>
              </w:rPr>
            </w:pP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67AA9C78">
            <w:pPr>
              <w:tabs>
                <w:tab w:val="left" w:pos="6870"/>
              </w:tabs>
              <w:jc w:val="center"/>
              <w:rPr>
                <w:rFonts w:ascii="仿宋" w:hAnsi="仿宋" w:eastAsia="仿宋"/>
                <w:color w:val="000000"/>
              </w:rPr>
            </w:pPr>
          </w:p>
          <w:p w14:paraId="6B58BC61">
            <w:pPr>
              <w:tabs>
                <w:tab w:val="left" w:pos="6870"/>
              </w:tabs>
              <w:jc w:val="center"/>
              <w:rPr>
                <w:rFonts w:ascii="仿宋" w:hAnsi="仿宋" w:eastAsia="仿宋"/>
                <w:color w:val="000000"/>
              </w:rPr>
            </w:pPr>
          </w:p>
          <w:p w14:paraId="40F3E398">
            <w:pPr>
              <w:tabs>
                <w:tab w:val="left" w:pos="6870"/>
              </w:tabs>
              <w:jc w:val="center"/>
              <w:rPr>
                <w:rFonts w:ascii="仿宋" w:hAnsi="仿宋" w:eastAsia="仿宋"/>
                <w:color w:val="000000"/>
              </w:rPr>
            </w:pPr>
          </w:p>
          <w:p w14:paraId="58782E0C">
            <w:pPr>
              <w:tabs>
                <w:tab w:val="left" w:pos="6870"/>
              </w:tabs>
              <w:jc w:val="center"/>
              <w:rPr>
                <w:rFonts w:ascii="仿宋" w:hAnsi="仿宋" w:eastAsia="仿宋"/>
                <w:color w:val="000000"/>
              </w:rPr>
            </w:pPr>
          </w:p>
          <w:p w14:paraId="422A6C25">
            <w:pPr>
              <w:tabs>
                <w:tab w:val="left" w:pos="6870"/>
              </w:tabs>
              <w:jc w:val="center"/>
              <w:rPr>
                <w:rFonts w:ascii="仿宋" w:hAnsi="仿宋" w:eastAsia="仿宋"/>
                <w:color w:val="000000"/>
              </w:rPr>
            </w:pPr>
          </w:p>
          <w:p w14:paraId="4FD3F30C">
            <w:pPr>
              <w:tabs>
                <w:tab w:val="left" w:pos="6870"/>
              </w:tabs>
              <w:jc w:val="center"/>
              <w:rPr>
                <w:rFonts w:ascii="仿宋" w:hAnsi="仿宋" w:eastAsia="仿宋"/>
                <w:color w:val="000000"/>
              </w:rPr>
            </w:pPr>
          </w:p>
          <w:p w14:paraId="61685224">
            <w:pPr>
              <w:tabs>
                <w:tab w:val="left" w:pos="6870"/>
              </w:tabs>
              <w:jc w:val="center"/>
              <w:rPr>
                <w:rFonts w:ascii="仿宋" w:hAnsi="仿宋" w:eastAsia="仿宋"/>
                <w:color w:val="000000"/>
              </w:rPr>
            </w:pPr>
          </w:p>
          <w:p w14:paraId="6933CB4F">
            <w:pPr>
              <w:tabs>
                <w:tab w:val="left" w:pos="6870"/>
              </w:tabs>
              <w:jc w:val="center"/>
              <w:rPr>
                <w:rFonts w:ascii="仿宋" w:hAnsi="仿宋" w:eastAsia="仿宋"/>
                <w:color w:val="000000"/>
              </w:rPr>
            </w:pPr>
          </w:p>
          <w:p w14:paraId="011529D3">
            <w:pPr>
              <w:tabs>
                <w:tab w:val="left" w:pos="6870"/>
              </w:tabs>
              <w:jc w:val="center"/>
              <w:rPr>
                <w:rFonts w:ascii="仿宋" w:hAnsi="仿宋" w:eastAsia="仿宋"/>
                <w:color w:val="000000"/>
              </w:rPr>
            </w:pPr>
          </w:p>
          <w:p w14:paraId="742319DD">
            <w:pPr>
              <w:tabs>
                <w:tab w:val="left" w:pos="6870"/>
              </w:tabs>
              <w:rPr>
                <w:rFonts w:ascii="仿宋" w:hAnsi="仿宋" w:eastAsia="仿宋"/>
                <w:color w:val="000000"/>
              </w:rPr>
            </w:pPr>
          </w:p>
          <w:p w14:paraId="34891B93">
            <w:pPr>
              <w:tabs>
                <w:tab w:val="left" w:pos="6870"/>
              </w:tabs>
              <w:rPr>
                <w:rFonts w:ascii="仿宋" w:hAnsi="仿宋" w:eastAsia="仿宋"/>
                <w:color w:val="000000"/>
              </w:rPr>
            </w:pPr>
          </w:p>
        </w:tc>
      </w:tr>
    </w:tbl>
    <w:p w14:paraId="2B302029">
      <w:pPr>
        <w:sectPr>
          <w:pgSz w:w="11906" w:h="16838"/>
          <w:pgMar w:top="1440" w:right="1800" w:bottom="1440" w:left="1800" w:header="851" w:footer="992" w:gutter="0"/>
          <w:cols w:space="425" w:num="1"/>
          <w:docGrid w:type="lines" w:linePitch="312" w:charSpace="0"/>
        </w:sectPr>
      </w:pPr>
    </w:p>
    <w:p w14:paraId="71BE6078">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92" w:afterAutospacing="0" w:line="300" w:lineRule="auto"/>
        <w:ind w:left="0" w:right="0" w:firstLine="0"/>
        <w:textAlignment w:val="auto"/>
        <w:rPr>
          <w:rFonts w:ascii="Segoe UI" w:hAnsi="Segoe UI" w:eastAsia="Segoe UI" w:cs="Segoe UI"/>
          <w:i w:val="0"/>
          <w:iCs w:val="0"/>
          <w:caps w:val="0"/>
          <w:color w:val="0F1115"/>
          <w:spacing w:val="0"/>
        </w:rPr>
      </w:pPr>
      <w:r>
        <w:rPr>
          <w:rStyle w:val="7"/>
          <w:rFonts w:hint="eastAsia" w:ascii="黑体" w:hAnsi="黑体" w:eastAsia="黑体" w:cs="黑体"/>
          <w:b/>
          <w:i w:val="0"/>
          <w:iCs w:val="0"/>
          <w:caps w:val="0"/>
          <w:color w:val="0F1115"/>
          <w:spacing w:val="0"/>
          <w:sz w:val="28"/>
          <w:szCs w:val="28"/>
          <w:shd w:val="clear" w:fill="FFFFFF"/>
        </w:rPr>
        <w:t>社交媒体大数据赋能公共危机管理：应用、挑战与协同治理路径</w:t>
      </w:r>
    </w:p>
    <w:p w14:paraId="3A5EC297">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00" w:lineRule="auto"/>
        <w:ind w:left="0" w:right="0" w:firstLine="0"/>
        <w:textAlignment w:val="auto"/>
        <w:rPr>
          <w:rFonts w:hint="eastAsia" w:ascii="宋体" w:hAnsi="宋体" w:eastAsia="宋体" w:cs="宋体"/>
          <w:i w:val="0"/>
          <w:iCs w:val="0"/>
          <w:caps w:val="0"/>
          <w:color w:val="0F1115"/>
          <w:spacing w:val="0"/>
          <w:sz w:val="24"/>
          <w:szCs w:val="24"/>
        </w:rPr>
      </w:pPr>
      <w:r>
        <w:rPr>
          <w:rStyle w:val="7"/>
          <w:rFonts w:hint="eastAsia" w:ascii="宋体" w:hAnsi="宋体" w:eastAsia="宋体" w:cs="宋体"/>
          <w:b/>
          <w:bCs/>
          <w:i w:val="0"/>
          <w:iCs w:val="0"/>
          <w:caps w:val="0"/>
          <w:color w:val="0F1115"/>
          <w:spacing w:val="0"/>
          <w:sz w:val="24"/>
          <w:szCs w:val="24"/>
          <w:shd w:val="clear" w:fill="FFFFFF"/>
        </w:rPr>
        <w:t>摘要</w:t>
      </w:r>
      <w:r>
        <w:rPr>
          <w:rFonts w:hint="eastAsia" w:ascii="宋体" w:hAnsi="宋体" w:eastAsia="宋体" w:cs="宋体"/>
          <w:i w:val="0"/>
          <w:iCs w:val="0"/>
          <w:caps w:val="0"/>
          <w:color w:val="0F1115"/>
          <w:spacing w:val="0"/>
          <w:sz w:val="24"/>
          <w:szCs w:val="24"/>
          <w:shd w:val="clear" w:fill="FFFFFF"/>
        </w:rPr>
        <w:t>：随着社交媒体深度嵌入社会运行，其产生的大数据正成为公共危机管理中不可忽视的信息源与干预场域。本文基于信息工程与社会的交叉视角，系统探讨了社交媒体大数据在公共危机管理全生命周期中的应用价值、现实挑战与治理路径。研究表明，社交媒体大数据通过实时态势感知、精准信息传播、群智知识挖掘与资源社会动员，显著提升了危机管理的敏捷性与公信力。然而，其应用亦面临数据可信度与算法偏见、个人隐私与数据安全、跨文化语境与平台治理，以及数字鸿沟与伦理失衡等深层挑战。对此，本文提出构建“技术赋能—制度规约—人文协同”的三位一体治理框架，通过发展可信人工智能、完善法律与平台责任体系、深化多元协同与素养教育，推动社交媒体大数据在公共危机管理中实现负责任且高效的应用，为构建韧性社会提供理论与实务参考。</w:t>
      </w:r>
    </w:p>
    <w:p w14:paraId="362CC53B">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00" w:lineRule="auto"/>
        <w:ind w:left="0" w:right="0" w:firstLine="0"/>
        <w:textAlignment w:val="auto"/>
        <w:rPr>
          <w:rFonts w:hint="eastAsia" w:ascii="宋体" w:hAnsi="宋体" w:eastAsia="宋体" w:cs="宋体"/>
          <w:i w:val="0"/>
          <w:iCs w:val="0"/>
          <w:caps w:val="0"/>
          <w:color w:val="0F1115"/>
          <w:spacing w:val="0"/>
          <w:sz w:val="24"/>
          <w:szCs w:val="24"/>
        </w:rPr>
      </w:pPr>
      <w:r>
        <w:rPr>
          <w:rStyle w:val="7"/>
          <w:rFonts w:hint="eastAsia" w:ascii="宋体" w:hAnsi="宋体" w:eastAsia="宋体" w:cs="宋体"/>
          <w:b/>
          <w:bCs/>
          <w:i w:val="0"/>
          <w:iCs w:val="0"/>
          <w:caps w:val="0"/>
          <w:color w:val="0F1115"/>
          <w:spacing w:val="0"/>
          <w:sz w:val="24"/>
          <w:szCs w:val="24"/>
          <w:shd w:val="clear" w:fill="FFFFFF"/>
        </w:rPr>
        <w:t>关键词</w:t>
      </w:r>
      <w:r>
        <w:rPr>
          <w:rFonts w:hint="eastAsia" w:ascii="宋体" w:hAnsi="宋体" w:eastAsia="宋体" w:cs="宋体"/>
          <w:i w:val="0"/>
          <w:iCs w:val="0"/>
          <w:caps w:val="0"/>
          <w:color w:val="0F1115"/>
          <w:spacing w:val="0"/>
          <w:sz w:val="24"/>
          <w:szCs w:val="24"/>
          <w:shd w:val="clear" w:fill="FFFFFF"/>
        </w:rPr>
        <w:t>：社交媒体大数据；公共危机管理；应急决策；数据治理；信息伦理</w:t>
      </w:r>
    </w:p>
    <w:p w14:paraId="37171892">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00" w:lineRule="auto"/>
        <w:ind w:left="0" w:right="0" w:firstLine="0"/>
        <w:textAlignment w:val="auto"/>
        <w:rPr>
          <w:rFonts w:hint="eastAsia" w:ascii="宋体" w:hAnsi="宋体" w:eastAsia="宋体" w:cs="宋体"/>
          <w:b/>
          <w:bCs/>
          <w:i w:val="0"/>
          <w:iCs w:val="0"/>
          <w:caps w:val="0"/>
          <w:color w:val="0F1115"/>
          <w:spacing w:val="0"/>
          <w:sz w:val="24"/>
          <w:szCs w:val="24"/>
        </w:rPr>
      </w:pPr>
      <w:r>
        <w:rPr>
          <w:rStyle w:val="7"/>
          <w:rFonts w:hint="eastAsia" w:ascii="宋体" w:hAnsi="宋体" w:eastAsia="宋体" w:cs="宋体"/>
          <w:b/>
          <w:bCs/>
          <w:i w:val="0"/>
          <w:iCs w:val="0"/>
          <w:caps w:val="0"/>
          <w:color w:val="0F1115"/>
          <w:spacing w:val="0"/>
          <w:sz w:val="24"/>
          <w:szCs w:val="24"/>
          <w:shd w:val="clear" w:fill="FFFFFF"/>
        </w:rPr>
        <w:t>1. 引言</w:t>
      </w:r>
    </w:p>
    <w:p w14:paraId="6260E710">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00" w:lineRule="auto"/>
        <w:ind w:left="0" w:right="0" w:firstLine="480" w:firstLineChars="200"/>
        <w:textAlignment w:val="auto"/>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我们正处于一个危机形态日益复杂化、社会运行高度数字化的时代。从突发自然灾害到全球性公共卫生事件，公共危机的爆发与演变因信息技术的扩散而加速，其管理也因数字工具的介入而变革。其中，社交媒体已从最初的人际沟通平台，演变为危机事件中信息传播、情感表达、舆论生成和行动协调的核心基础设施</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"https://catalog.lib.msu.edu/EdsRecord/edsarx,edsarx.2501.15608/Details?sid=54023596" \l "tabnav" \t "https://chat.deepseek.com/a/chat/s/_blank" </w:instrText>
      </w:r>
      <w:r>
        <w:rPr>
          <w:rFonts w:hint="eastAsia" w:ascii="宋体" w:hAnsi="宋体" w:eastAsia="宋体" w:cs="宋体"/>
          <w:i w:val="0"/>
          <w:iCs w:val="0"/>
          <w:caps w:val="0"/>
          <w:spacing w:val="0"/>
          <w:sz w:val="24"/>
          <w:szCs w:val="24"/>
          <w:u w:val="none"/>
          <w:shd w:val="clear" w:fill="FFFFFF"/>
        </w:rPr>
        <w:fldChar w:fldCharType="separate"/>
      </w:r>
      <w:r>
        <w:rPr>
          <w:rStyle w:val="9"/>
          <w:rFonts w:hint="eastAsia" w:ascii="宋体" w:hAnsi="宋体" w:eastAsia="宋体" w:cs="宋体"/>
          <w:i w:val="0"/>
          <w:iCs w:val="0"/>
          <w:caps w:val="0"/>
          <w:spacing w:val="0"/>
          <w:sz w:val="24"/>
          <w:szCs w:val="24"/>
          <w:u w:val="none"/>
          <w:shd w:val="clear" w:fill="FFFFFF"/>
        </w:rPr>
        <w:t>-7</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0F1115"/>
          <w:spacing w:val="0"/>
          <w:sz w:val="24"/>
          <w:szCs w:val="24"/>
          <w:shd w:val="clear" w:fill="FFFFFF"/>
        </w:rPr>
        <w:t>。其所产生的海量、实时、多模态大数据，为传统依赖结构化数据和层级报告的危机管理模式，提供了前所未有的“社会感知”能力。</w:t>
      </w:r>
    </w:p>
    <w:p w14:paraId="1810E0C5">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0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本课程《工程与社会》聚焦于信息工程发展与社会互动之间的深刻联系。社交媒体大数据在公共危机管理中的应用，正是这一互动关系的典型缩影：它既是技术赋能社会治理的体现，也全方位折射出技术应用伴生的伦理、法律与权力重构等社会性挑战。因此，本文旨在系统梳理社交媒体大数据在危机管理中的应用图景，批判性分析其带来的多重挑战，并最终从工程与社会协同共治的视角，探索可行的治理路径，以促进技术向善，助力社会韧性的提升。</w:t>
      </w:r>
    </w:p>
    <w:p w14:paraId="4D50DF6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00" w:lineRule="auto"/>
        <w:ind w:left="0" w:right="0" w:firstLine="0"/>
        <w:textAlignment w:val="auto"/>
        <w:rPr>
          <w:rFonts w:hint="eastAsia" w:ascii="宋体" w:hAnsi="宋体" w:eastAsia="宋体" w:cs="宋体"/>
          <w:i w:val="0"/>
          <w:iCs w:val="0"/>
          <w:caps w:val="0"/>
          <w:color w:val="0F1115"/>
          <w:spacing w:val="0"/>
          <w:sz w:val="24"/>
          <w:szCs w:val="24"/>
        </w:rPr>
      </w:pPr>
      <w:r>
        <w:rPr>
          <w:rStyle w:val="7"/>
          <w:rFonts w:hint="eastAsia" w:ascii="宋体" w:hAnsi="宋体" w:eastAsia="宋体" w:cs="宋体"/>
          <w:b/>
          <w:i w:val="0"/>
          <w:iCs w:val="0"/>
          <w:caps w:val="0"/>
          <w:color w:val="0F1115"/>
          <w:spacing w:val="0"/>
          <w:sz w:val="24"/>
          <w:szCs w:val="24"/>
          <w:shd w:val="clear" w:fill="FFFFFF"/>
        </w:rPr>
        <w:t>2. 文献综述</w:t>
      </w:r>
    </w:p>
    <w:p w14:paraId="24323A0A">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0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近年来，社交媒体大数据在危机管理中的价值已得到学界与实务界的广泛确认，研究呈现出从价值论证向深度应用、风险审视与治理探讨转向的趋势。</w:t>
      </w:r>
    </w:p>
    <w:p w14:paraId="69F890E6">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0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Style w:val="7"/>
          <w:rFonts w:hint="eastAsia" w:ascii="宋体" w:hAnsi="宋体" w:eastAsia="宋体" w:cs="宋体"/>
          <w:b w:val="0"/>
          <w:bCs w:val="0"/>
          <w:i w:val="0"/>
          <w:iCs w:val="0"/>
          <w:caps w:val="0"/>
          <w:color w:val="0F1115"/>
          <w:spacing w:val="0"/>
          <w:sz w:val="24"/>
          <w:szCs w:val="24"/>
          <w:shd w:val="clear" w:fill="FFFFFF"/>
        </w:rPr>
        <w:t>在应用价值与实践层面</w:t>
      </w:r>
      <w:r>
        <w:rPr>
          <w:rFonts w:hint="eastAsia" w:ascii="宋体" w:hAnsi="宋体" w:eastAsia="宋体" w:cs="宋体"/>
          <w:b w:val="0"/>
          <w:bCs w:val="0"/>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研究证实社交媒体已成为应急管理机构的常规工具。Purohit等人（2025）对欧美约150名应急管理从业者的调查显示，利用社交媒体进行“态势感知”和“公众沟通”已成为普遍实践，尤其对地方层级机构具有极高价值。在技术方法上，研究趋向于如何从嘈杂的社交媒体数据中提取结构化、可行动的洞察。例如，徐选华等人（2024）提出了针对社交媒体大数据的大群体群智知识挖掘与价值测度方法，以辅助应急决策。更前沿的探索开始融合大语言模型（LLMs），通过对灾害相关帖文进行多维度分类与生成式摘要，为警察、消防、医疗等不同利益相关者定制行动报告。</w:t>
      </w:r>
    </w:p>
    <w:p w14:paraId="1BD78325">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0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Style w:val="7"/>
          <w:rFonts w:hint="eastAsia" w:ascii="宋体" w:hAnsi="宋体" w:eastAsia="宋体" w:cs="宋体"/>
          <w:b w:val="0"/>
          <w:bCs w:val="0"/>
          <w:i w:val="0"/>
          <w:iCs w:val="0"/>
          <w:caps w:val="0"/>
          <w:color w:val="0F1115"/>
          <w:spacing w:val="0"/>
          <w:sz w:val="24"/>
          <w:szCs w:val="24"/>
          <w:shd w:val="clear" w:fill="FFFFFF"/>
        </w:rPr>
        <w:t>在风险与挑战层面</w:t>
      </w:r>
      <w:r>
        <w:rPr>
          <w:rFonts w:hint="eastAsia" w:ascii="宋体" w:hAnsi="宋体" w:eastAsia="宋体" w:cs="宋体"/>
          <w:b w:val="0"/>
          <w:bCs w:val="0"/>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研究焦点集中于数据质量、隐私伦理与治理失灵。数据本身的可信度与代表性是首要难题。有研究明确指出，利用社交媒体数据进行灾害管理时，面临着错误信息以及因灾害类型、地域背景差异导致的数据偏见问题。隐私侵犯与数据安全风险在“开盒挂人”等网络暴力事件中凸显，攻击者利用技术手段非法获取并公开他人隐私信息，而平台方的安全管理漏洞可能在此过程中负有责任。此外，全球性平台的自动化内容审核系统，常因无法理解本地化的语言与文化语境而导致过度审查或管理失效，如在肯尼亚“Tugeges”一词的案例中，暴露了“一刀切”算法的局限性。</w:t>
      </w:r>
    </w:p>
    <w:p w14:paraId="6EFA6B91">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0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Style w:val="7"/>
          <w:rFonts w:hint="eastAsia" w:ascii="宋体" w:hAnsi="宋体" w:eastAsia="宋体" w:cs="宋体"/>
          <w:b w:val="0"/>
          <w:bCs w:val="0"/>
          <w:i w:val="0"/>
          <w:iCs w:val="0"/>
          <w:caps w:val="0"/>
          <w:color w:val="0F1115"/>
          <w:spacing w:val="0"/>
          <w:sz w:val="24"/>
          <w:szCs w:val="24"/>
          <w:shd w:val="clear" w:fill="FFFFFF"/>
        </w:rPr>
        <w:t>在治理与策略层面</w:t>
      </w:r>
      <w:r>
        <w:rPr>
          <w:rFonts w:hint="eastAsia" w:ascii="宋体" w:hAnsi="宋体" w:eastAsia="宋体" w:cs="宋体"/>
          <w:b w:val="0"/>
          <w:bCs w:val="0"/>
          <w:i w:val="0"/>
          <w:iCs w:val="0"/>
          <w:caps w:val="0"/>
          <w:color w:val="0F1115"/>
          <w:spacing w:val="0"/>
          <w:sz w:val="24"/>
          <w:szCs w:val="24"/>
          <w:shd w:val="clear" w:fill="FFFFFF"/>
        </w:rPr>
        <w:t>，</w:t>
      </w:r>
      <w:r>
        <w:rPr>
          <w:rFonts w:hint="eastAsia" w:ascii="宋体" w:hAnsi="宋体" w:eastAsia="宋体" w:cs="宋体"/>
          <w:i w:val="0"/>
          <w:iCs w:val="0"/>
          <w:caps w:val="0"/>
          <w:color w:val="0F1115"/>
          <w:spacing w:val="0"/>
          <w:sz w:val="24"/>
          <w:szCs w:val="24"/>
          <w:shd w:val="clear" w:fill="FFFFFF"/>
        </w:rPr>
        <w:t>研究强调多元协同与情境化沟通。有效的政府危机沟通被认为需要基于紧急事件类型、阶段、平台工具和受众特征来量身定制策略，并应在危机前就建立稳定的社交媒体战略与沟通框架。同时，治理模式需要超越单一的政府或平台管控。有国内学者从建构主义与治理理论出发，论证了社交媒体平台危机传播治理应作为一项公共产品，由政府、平台、社会多元主体协同供给。而在危机叙事中，社交媒介影响者（如网络大V）的“问责信息”会对公众的责任感知产生显著影响，这要求组织在危机回应时需充分考虑这一新型传播节点的作用。</w:t>
      </w:r>
    </w:p>
    <w:p w14:paraId="37A1DFD1">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0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既有研究为本文奠定了坚实基础，但多数集中于特定层面。本文试图整合技术应用、社会风险与制度治理的多维视角，构建一个系统性的分析框架，以回应“工程与社会”互动下的复杂议题。</w:t>
      </w:r>
    </w:p>
    <w:p w14:paraId="4B1EB3B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00" w:lineRule="auto"/>
        <w:ind w:left="0" w:right="0" w:firstLine="0"/>
        <w:textAlignment w:val="auto"/>
        <w:rPr>
          <w:rFonts w:hint="eastAsia" w:ascii="宋体" w:hAnsi="宋体" w:eastAsia="宋体" w:cs="宋体"/>
          <w:i w:val="0"/>
          <w:iCs w:val="0"/>
          <w:caps w:val="0"/>
          <w:color w:val="0F1115"/>
          <w:spacing w:val="0"/>
          <w:sz w:val="24"/>
          <w:szCs w:val="24"/>
        </w:rPr>
      </w:pPr>
      <w:r>
        <w:rPr>
          <w:rStyle w:val="7"/>
          <w:rFonts w:hint="eastAsia" w:ascii="宋体" w:hAnsi="宋体" w:eastAsia="宋体" w:cs="宋体"/>
          <w:b/>
          <w:i w:val="0"/>
          <w:iCs w:val="0"/>
          <w:caps w:val="0"/>
          <w:color w:val="0F1115"/>
          <w:spacing w:val="0"/>
          <w:sz w:val="24"/>
          <w:szCs w:val="24"/>
          <w:shd w:val="clear" w:fill="FFFFFF"/>
        </w:rPr>
        <w:t>3. 社交媒体大数据在公共危机管理中的核心应用</w:t>
      </w:r>
    </w:p>
    <w:p w14:paraId="350041BA">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0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rPr>
        <w:t>社交媒体大数据并非简单的信息池，其价值在于通过一系列技术与社会过程，嵌入危机管理的全生命周期，重塑了管理流程的效能。社交媒体大数据在公共危机管理中的应用贯穿于减缓与准备、响应与处置、恢复与学习三大阶段。</w:t>
      </w:r>
    </w:p>
    <w:p w14:paraId="706D8E2A">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0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rPr>
        <w:t>在减缓与准备阶段，其主要应用包括风险舆情监测与公众教育与策略预设。通过对社交媒体讨论的持续分析，运用情感分析和主题演化追踪技术，可以识别潜在的社会风险点与公众情绪动向，实现早期预警。同时，官方机构可以利用社交媒体发布防灾知识，并借助影响力者扩大传播范围；还可以基于历史社交媒体数据进行传播仿真，模拟危机信息的可能路径，从而预先制定更为精准的沟通策略。</w:t>
      </w:r>
    </w:p>
    <w:p w14:paraId="2539F8DE">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0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rPr>
        <w:t>进入响应与处置这一核心阶段，应用变得更为多元和关键。首先是实时态势感知，通过从受灾现场用户发布的图文、视频中快速提取地理位置、受灾程度、急需物资等关键信息，有效弥补了传统信息收集渠道的滞后性，相关技术包括地理空间信息抽取、图像识别以及新兴的大语言模型多维度分类。其次是精准信息发布与谣言治理，官方机构作为权威信源，通过社交媒体矩阵发布指令；同时，通过信息溯源技术监测谣言传播路径，进行精准辟谣，以校正混乱的信息环境。再次是群智知识挖掘与资源协调，运用知识图谱构建和群体智能价值测度等方法，从海量的求助、报平安和互助信息中，挖掘出如稀缺物资分布、民间救援力量等结构化知识，从而优化官方资源的调度。此外，还能进行社会动员与心理疏导，通过发起线上互助话题动员社会力量，并利用情感计算技术识别群体焦虑区域，以便定向投放心理支持信息。</w:t>
      </w:r>
    </w:p>
    <w:p w14:paraId="2148F041">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0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rPr>
        <w:t>在最后的恢复与学习阶段，社交媒体大数据主要用于灾后需求评估与重建反馈以及危机过程复盘与模型优化。通过长时段的话题分析和诉求聚类，可以持续关注灾区民众的生活恢复状况与政策反馈，评估恢复措施的效果。同时，基于完整的社交媒体交互数据，运用社会网络分析和决策过程回溯等方法，可以对危机传播规律和管理措施的得失进行系统复盘，从而优化未来的危机应对模型。</w:t>
      </w:r>
    </w:p>
    <w:p w14:paraId="4A8DD479">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0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rPr>
        <w:t>应用深化：从信息渠道到决策智能。当前的应用前沿正从信息收集与传播，迈向深度智能化决策支持。例如，研究探索利用大语言模型（LLMs）对灾害期间的社交媒体帖子进行自动化分析，不仅能分类情感和主题，还能生成面向警察、消防、媒体等不同决策主体的、定制化的综合报告，极大提升了从数据到洞察的效率。这标志着社交媒体大数据开始更深度地融入应急管理的“神经中枢”。</w:t>
      </w:r>
    </w:p>
    <w:p w14:paraId="2B8C80B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00" w:lineRule="auto"/>
        <w:ind w:left="0" w:right="0" w:firstLine="0"/>
        <w:textAlignment w:val="auto"/>
        <w:rPr>
          <w:rFonts w:hint="eastAsia" w:ascii="宋体" w:hAnsi="宋体" w:eastAsia="宋体" w:cs="宋体"/>
          <w:i w:val="0"/>
          <w:iCs w:val="0"/>
          <w:caps w:val="0"/>
          <w:color w:val="0F1115"/>
          <w:spacing w:val="0"/>
          <w:sz w:val="24"/>
          <w:szCs w:val="24"/>
        </w:rPr>
      </w:pPr>
      <w:r>
        <w:rPr>
          <w:rStyle w:val="7"/>
          <w:rFonts w:hint="eastAsia" w:ascii="宋体" w:hAnsi="宋体" w:eastAsia="宋体" w:cs="宋体"/>
          <w:b/>
          <w:i w:val="0"/>
          <w:iCs w:val="0"/>
          <w:caps w:val="0"/>
          <w:color w:val="0F1115"/>
          <w:spacing w:val="0"/>
          <w:sz w:val="24"/>
          <w:szCs w:val="24"/>
          <w:shd w:val="clear" w:fill="FFFFFF"/>
        </w:rPr>
        <w:t>4. 应用过程中的主要挑战与风险</w:t>
      </w:r>
    </w:p>
    <w:p w14:paraId="52CE7E5A">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0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尽管潜力巨大，但社交媒体大数据的固有特质及其所嵌入的复杂社会技术系统，使其应用过程布满荆棘，主要体现为以下四重挑战：</w:t>
      </w:r>
    </w:p>
    <w:p w14:paraId="55825A26">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00" w:lineRule="auto"/>
        <w:ind w:left="0" w:right="0" w:firstLine="0"/>
        <w:textAlignment w:val="auto"/>
        <w:rPr>
          <w:rFonts w:hint="eastAsia" w:ascii="宋体" w:hAnsi="宋体" w:eastAsia="宋体" w:cs="宋体"/>
          <w:b w:val="0"/>
          <w:bCs w:val="0"/>
          <w:i w:val="0"/>
          <w:iCs w:val="0"/>
          <w:caps w:val="0"/>
          <w:color w:val="0F1115"/>
          <w:spacing w:val="0"/>
          <w:sz w:val="24"/>
          <w:szCs w:val="24"/>
        </w:rPr>
      </w:pPr>
      <w:r>
        <w:rPr>
          <w:rStyle w:val="7"/>
          <w:rFonts w:hint="eastAsia" w:ascii="宋体" w:hAnsi="宋体" w:eastAsia="宋体" w:cs="宋体"/>
          <w:b/>
          <w:bCs/>
          <w:i w:val="0"/>
          <w:iCs w:val="0"/>
          <w:caps w:val="0"/>
          <w:color w:val="0F1115"/>
          <w:spacing w:val="0"/>
          <w:sz w:val="24"/>
          <w:szCs w:val="24"/>
          <w:shd w:val="clear" w:fill="FFFFFF"/>
        </w:rPr>
        <w:t>4.1 数据可信度与算法偏见挑战</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lang w:val="en-US" w:eastAsia="zh-CN"/>
        </w:rPr>
        <w:tab/>
      </w:r>
      <w:r>
        <w:rPr>
          <w:rFonts w:hint="eastAsia" w:ascii="宋体" w:hAnsi="宋体" w:eastAsia="宋体" w:cs="宋体"/>
          <w:b w:val="0"/>
          <w:bCs w:val="0"/>
          <w:i w:val="0"/>
          <w:iCs w:val="0"/>
          <w:caps w:val="0"/>
          <w:color w:val="0F1115"/>
          <w:spacing w:val="0"/>
          <w:sz w:val="24"/>
          <w:szCs w:val="24"/>
          <w:shd w:val="clear" w:fill="FFFFFF"/>
        </w:rPr>
        <w:t>社交媒体数据的“富矿”中掺杂着大量“噪声”。首先是</w:t>
      </w:r>
      <w:r>
        <w:rPr>
          <w:rStyle w:val="7"/>
          <w:rFonts w:hint="eastAsia" w:ascii="宋体" w:hAnsi="宋体" w:eastAsia="宋体" w:cs="宋体"/>
          <w:b w:val="0"/>
          <w:bCs w:val="0"/>
          <w:i w:val="0"/>
          <w:iCs w:val="0"/>
          <w:caps w:val="0"/>
          <w:color w:val="0F1115"/>
          <w:spacing w:val="0"/>
          <w:sz w:val="24"/>
          <w:szCs w:val="24"/>
          <w:shd w:val="clear" w:fill="FFFFFF"/>
        </w:rPr>
        <w:t>错误与虚假信息</w:t>
      </w:r>
      <w:r>
        <w:rPr>
          <w:rFonts w:hint="eastAsia" w:ascii="宋体" w:hAnsi="宋体" w:eastAsia="宋体" w:cs="宋体"/>
          <w:b w:val="0"/>
          <w:bCs w:val="0"/>
          <w:i w:val="0"/>
          <w:iCs w:val="0"/>
          <w:caps w:val="0"/>
          <w:color w:val="0F1115"/>
          <w:spacing w:val="0"/>
          <w:sz w:val="24"/>
          <w:szCs w:val="24"/>
          <w:shd w:val="clear" w:fill="FFFFFF"/>
        </w:rPr>
        <w:t>的泛滥，在危机带来的焦虑情绪下，谣言往往比真相传播得更快、更广，污染数据源，可能导致资源误配</w:t>
      </w:r>
      <w:r>
        <w:rPr>
          <w:rFonts w:hint="eastAsia" w:ascii="宋体" w:hAnsi="宋体" w:eastAsia="宋体" w:cs="宋体"/>
          <w:b w:val="0"/>
          <w:bCs w:val="0"/>
          <w:i w:val="0"/>
          <w:iCs w:val="0"/>
          <w:caps w:val="0"/>
          <w:spacing w:val="0"/>
          <w:sz w:val="24"/>
          <w:szCs w:val="24"/>
          <w:u w:val="none"/>
          <w:shd w:val="clear" w:fill="FFFFFF"/>
        </w:rPr>
        <w:fldChar w:fldCharType="begin"/>
      </w:r>
      <w:r>
        <w:rPr>
          <w:rFonts w:hint="eastAsia" w:ascii="宋体" w:hAnsi="宋体" w:eastAsia="宋体" w:cs="宋体"/>
          <w:b w:val="0"/>
          <w:bCs w:val="0"/>
          <w:i w:val="0"/>
          <w:iCs w:val="0"/>
          <w:caps w:val="0"/>
          <w:spacing w:val="0"/>
          <w:sz w:val="24"/>
          <w:szCs w:val="24"/>
          <w:u w:val="none"/>
          <w:shd w:val="clear" w:fill="FFFFFF"/>
        </w:rPr>
        <w:instrText xml:space="preserve"> HYPERLINK "https://library.nih.go.kr/ncmiklib/search/Retrieve.do?dbid=edsarx&amp;an=edsarx.2409.00004&amp;highlight=AND&amp;edsCnt=207757&amp;kwd=" \t "https://chat.deepseek.com/a/chat/s/_blank" </w:instrText>
      </w:r>
      <w:r>
        <w:rPr>
          <w:rFonts w:hint="eastAsia" w:ascii="宋体" w:hAnsi="宋体" w:eastAsia="宋体" w:cs="宋体"/>
          <w:b w:val="0"/>
          <w:bCs w:val="0"/>
          <w:i w:val="0"/>
          <w:iCs w:val="0"/>
          <w:caps w:val="0"/>
          <w:spacing w:val="0"/>
          <w:sz w:val="24"/>
          <w:szCs w:val="24"/>
          <w:u w:val="none"/>
          <w:shd w:val="clear" w:fill="FFFFFF"/>
        </w:rPr>
        <w:fldChar w:fldCharType="separate"/>
      </w:r>
      <w:r>
        <w:rPr>
          <w:rStyle w:val="9"/>
          <w:rFonts w:hint="eastAsia" w:ascii="宋体" w:hAnsi="宋体" w:eastAsia="宋体" w:cs="宋体"/>
          <w:b w:val="0"/>
          <w:bCs w:val="0"/>
          <w:i w:val="0"/>
          <w:iCs w:val="0"/>
          <w:caps w:val="0"/>
          <w:spacing w:val="0"/>
          <w:sz w:val="24"/>
          <w:szCs w:val="24"/>
          <w:u w:val="none"/>
          <w:shd w:val="clear" w:fill="FFFFFF"/>
        </w:rPr>
        <w:t>-1</w:t>
      </w:r>
      <w:r>
        <w:rPr>
          <w:rFonts w:hint="eastAsia" w:ascii="宋体" w:hAnsi="宋体" w:eastAsia="宋体" w:cs="宋体"/>
          <w:b w:val="0"/>
          <w:bCs w:val="0"/>
          <w:i w:val="0"/>
          <w:iCs w:val="0"/>
          <w:caps w:val="0"/>
          <w:spacing w:val="0"/>
          <w:sz w:val="24"/>
          <w:szCs w:val="24"/>
          <w:u w:val="none"/>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。其次是</w:t>
      </w:r>
      <w:r>
        <w:rPr>
          <w:rStyle w:val="7"/>
          <w:rFonts w:hint="eastAsia" w:ascii="宋体" w:hAnsi="宋体" w:eastAsia="宋体" w:cs="宋体"/>
          <w:b w:val="0"/>
          <w:bCs w:val="0"/>
          <w:i w:val="0"/>
          <w:iCs w:val="0"/>
          <w:caps w:val="0"/>
          <w:color w:val="0F1115"/>
          <w:spacing w:val="0"/>
          <w:sz w:val="24"/>
          <w:szCs w:val="24"/>
          <w:shd w:val="clear" w:fill="FFFFFF"/>
        </w:rPr>
        <w:t>代表性偏见</w:t>
      </w:r>
      <w:r>
        <w:rPr>
          <w:rFonts w:hint="eastAsia" w:ascii="宋体" w:hAnsi="宋体" w:eastAsia="宋体" w:cs="宋体"/>
          <w:b w:val="0"/>
          <w:bCs w:val="0"/>
          <w:i w:val="0"/>
          <w:iCs w:val="0"/>
          <w:caps w:val="0"/>
          <w:color w:val="0F1115"/>
          <w:spacing w:val="0"/>
          <w:sz w:val="24"/>
          <w:szCs w:val="24"/>
          <w:shd w:val="clear" w:fill="FFFFFF"/>
        </w:rPr>
        <w:t>，社交媒体用户并非社会的完整映射，其发声受到年龄、地域、阶层、数字接入能力等多重因素影响。依赖此类数据进行决策，可能导致弱势群体的需求被系统性忽视</w:t>
      </w:r>
      <w:r>
        <w:rPr>
          <w:rFonts w:hint="eastAsia" w:ascii="宋体" w:hAnsi="宋体" w:eastAsia="宋体" w:cs="宋体"/>
          <w:b w:val="0"/>
          <w:bCs w:val="0"/>
          <w:i w:val="0"/>
          <w:iCs w:val="0"/>
          <w:caps w:val="0"/>
          <w:spacing w:val="0"/>
          <w:sz w:val="24"/>
          <w:szCs w:val="24"/>
          <w:u w:val="none"/>
          <w:shd w:val="clear" w:fill="FFFFFF"/>
        </w:rPr>
        <w:fldChar w:fldCharType="begin"/>
      </w:r>
      <w:r>
        <w:rPr>
          <w:rFonts w:hint="eastAsia" w:ascii="宋体" w:hAnsi="宋体" w:eastAsia="宋体" w:cs="宋体"/>
          <w:b w:val="0"/>
          <w:bCs w:val="0"/>
          <w:i w:val="0"/>
          <w:iCs w:val="0"/>
          <w:caps w:val="0"/>
          <w:spacing w:val="0"/>
          <w:sz w:val="24"/>
          <w:szCs w:val="24"/>
          <w:u w:val="none"/>
          <w:shd w:val="clear" w:fill="FFFFFF"/>
        </w:rPr>
        <w:instrText xml:space="preserve"> HYPERLINK "https://library.nih.go.kr/ncmiklib/search/Retrieve.do?dbid=edsarx&amp;an=edsarx.2409.00004&amp;highlight=AND&amp;edsCnt=207757&amp;kwd=" \t "https://chat.deepseek.com/a/chat/s/_blank" </w:instrText>
      </w:r>
      <w:r>
        <w:rPr>
          <w:rFonts w:hint="eastAsia" w:ascii="宋体" w:hAnsi="宋体" w:eastAsia="宋体" w:cs="宋体"/>
          <w:b w:val="0"/>
          <w:bCs w:val="0"/>
          <w:i w:val="0"/>
          <w:iCs w:val="0"/>
          <w:caps w:val="0"/>
          <w:spacing w:val="0"/>
          <w:sz w:val="24"/>
          <w:szCs w:val="24"/>
          <w:u w:val="none"/>
          <w:shd w:val="clear" w:fill="FFFFFF"/>
        </w:rPr>
        <w:fldChar w:fldCharType="separate"/>
      </w:r>
      <w:r>
        <w:rPr>
          <w:rStyle w:val="9"/>
          <w:rFonts w:hint="eastAsia" w:ascii="宋体" w:hAnsi="宋体" w:eastAsia="宋体" w:cs="宋体"/>
          <w:b w:val="0"/>
          <w:bCs w:val="0"/>
          <w:i w:val="0"/>
          <w:iCs w:val="0"/>
          <w:caps w:val="0"/>
          <w:spacing w:val="0"/>
          <w:sz w:val="24"/>
          <w:szCs w:val="24"/>
          <w:u w:val="none"/>
          <w:shd w:val="clear" w:fill="FFFFFF"/>
        </w:rPr>
        <w:t>-1</w:t>
      </w:r>
      <w:r>
        <w:rPr>
          <w:rFonts w:hint="eastAsia" w:ascii="宋体" w:hAnsi="宋体" w:eastAsia="宋体" w:cs="宋体"/>
          <w:b w:val="0"/>
          <w:bCs w:val="0"/>
          <w:i w:val="0"/>
          <w:iCs w:val="0"/>
          <w:caps w:val="0"/>
          <w:spacing w:val="0"/>
          <w:sz w:val="24"/>
          <w:szCs w:val="24"/>
          <w:u w:val="none"/>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。最后是</w:t>
      </w:r>
      <w:r>
        <w:rPr>
          <w:rStyle w:val="7"/>
          <w:rFonts w:hint="eastAsia" w:ascii="宋体" w:hAnsi="宋体" w:eastAsia="宋体" w:cs="宋体"/>
          <w:b w:val="0"/>
          <w:bCs w:val="0"/>
          <w:i w:val="0"/>
          <w:iCs w:val="0"/>
          <w:caps w:val="0"/>
          <w:color w:val="0F1115"/>
          <w:spacing w:val="0"/>
          <w:sz w:val="24"/>
          <w:szCs w:val="24"/>
          <w:shd w:val="clear" w:fill="FFFFFF"/>
        </w:rPr>
        <w:t>算法偏见</w:t>
      </w:r>
      <w:r>
        <w:rPr>
          <w:rFonts w:hint="eastAsia" w:ascii="宋体" w:hAnsi="宋体" w:eastAsia="宋体" w:cs="宋体"/>
          <w:b w:val="0"/>
          <w:bCs w:val="0"/>
          <w:i w:val="0"/>
          <w:iCs w:val="0"/>
          <w:caps w:val="0"/>
          <w:color w:val="0F1115"/>
          <w:spacing w:val="0"/>
          <w:sz w:val="24"/>
          <w:szCs w:val="24"/>
          <w:shd w:val="clear" w:fill="FFFFFF"/>
        </w:rPr>
        <w:t>，平台用于筛选、排序内容的算法可能无意中放大某些声音、隐匿另一些声音，从而扭曲管理者所看到的“社会图景”。</w:t>
      </w:r>
    </w:p>
    <w:p w14:paraId="2E7482BF">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00" w:lineRule="auto"/>
        <w:ind w:left="0" w:right="0" w:firstLine="0"/>
        <w:textAlignment w:val="auto"/>
        <w:rPr>
          <w:rFonts w:hint="eastAsia" w:ascii="宋体" w:hAnsi="宋体" w:eastAsia="宋体" w:cs="宋体"/>
          <w:i w:val="0"/>
          <w:iCs w:val="0"/>
          <w:caps w:val="0"/>
          <w:color w:val="0F1115"/>
          <w:spacing w:val="0"/>
          <w:sz w:val="24"/>
          <w:szCs w:val="24"/>
        </w:rPr>
      </w:pPr>
      <w:r>
        <w:rPr>
          <w:rStyle w:val="7"/>
          <w:rFonts w:hint="eastAsia" w:ascii="宋体" w:hAnsi="宋体" w:eastAsia="宋体" w:cs="宋体"/>
          <w:b/>
          <w:bCs/>
          <w:i w:val="0"/>
          <w:iCs w:val="0"/>
          <w:caps w:val="0"/>
          <w:color w:val="0F1115"/>
          <w:spacing w:val="0"/>
          <w:sz w:val="24"/>
          <w:szCs w:val="24"/>
          <w:shd w:val="clear" w:fill="FFFFFF"/>
        </w:rPr>
        <w:t>4.2 个人隐私与数据安全挑战</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lang w:val="en-US" w:eastAsia="zh-CN"/>
        </w:rPr>
        <w:tab/>
      </w:r>
      <w:r>
        <w:rPr>
          <w:rFonts w:hint="eastAsia" w:ascii="宋体" w:hAnsi="宋体" w:eastAsia="宋体" w:cs="宋体"/>
          <w:b w:val="0"/>
          <w:bCs w:val="0"/>
          <w:i w:val="0"/>
          <w:iCs w:val="0"/>
          <w:caps w:val="0"/>
          <w:color w:val="0F1115"/>
          <w:spacing w:val="0"/>
          <w:sz w:val="24"/>
          <w:szCs w:val="24"/>
          <w:shd w:val="clear" w:fill="FFFFFF"/>
        </w:rPr>
        <w:t>危机管理的效率诉求与公民隐私权之间存在紧张关系。为进行精准分析和救助，可能需要收集或分析包含个人位置、社会关系等敏感信息的数据，这极易越界。更严峻的风险来自恶意的“数字狩猎”。近年来频发的“开盒挂人”事件，即攻击者非法获取并公开他人隐私信息，煽动网络暴力。这类事件暴露出双重问题：一是</w:t>
      </w:r>
      <w:r>
        <w:rPr>
          <w:rStyle w:val="7"/>
          <w:rFonts w:hint="eastAsia" w:ascii="宋体" w:hAnsi="宋体" w:eastAsia="宋体" w:cs="宋体"/>
          <w:b w:val="0"/>
          <w:bCs w:val="0"/>
          <w:i w:val="0"/>
          <w:iCs w:val="0"/>
          <w:caps w:val="0"/>
          <w:color w:val="0F1115"/>
          <w:spacing w:val="0"/>
          <w:sz w:val="24"/>
          <w:szCs w:val="24"/>
          <w:shd w:val="clear" w:fill="FFFFFF"/>
        </w:rPr>
        <w:t>平台在数据安全防护上存在漏洞</w:t>
      </w:r>
      <w:r>
        <w:rPr>
          <w:rFonts w:hint="eastAsia" w:ascii="宋体" w:hAnsi="宋体" w:eastAsia="宋体" w:cs="宋体"/>
          <w:b w:val="0"/>
          <w:bCs w:val="0"/>
          <w:i w:val="0"/>
          <w:iCs w:val="0"/>
          <w:caps w:val="0"/>
          <w:color w:val="0F1115"/>
          <w:spacing w:val="0"/>
          <w:sz w:val="24"/>
          <w:szCs w:val="24"/>
          <w:shd w:val="clear" w:fill="FFFFFF"/>
        </w:rPr>
        <w:t>，可能因技术或管理缺陷导致用户敏感信息从后台泄露；二是</w:t>
      </w:r>
      <w:r>
        <w:rPr>
          <w:rStyle w:val="7"/>
          <w:rFonts w:hint="eastAsia" w:ascii="宋体" w:hAnsi="宋体" w:eastAsia="宋体" w:cs="宋体"/>
          <w:b w:val="0"/>
          <w:bCs w:val="0"/>
          <w:i w:val="0"/>
          <w:iCs w:val="0"/>
          <w:caps w:val="0"/>
          <w:color w:val="0F1115"/>
          <w:spacing w:val="0"/>
          <w:sz w:val="24"/>
          <w:szCs w:val="24"/>
          <w:shd w:val="clear" w:fill="FFFFFF"/>
        </w:rPr>
        <w:t>恶意技术滥用</w:t>
      </w:r>
      <w:r>
        <w:rPr>
          <w:rFonts w:hint="eastAsia" w:ascii="宋体" w:hAnsi="宋体" w:eastAsia="宋体" w:cs="宋体"/>
          <w:b w:val="0"/>
          <w:bCs w:val="0"/>
          <w:i w:val="0"/>
          <w:iCs w:val="0"/>
          <w:caps w:val="0"/>
          <w:color w:val="0F1115"/>
          <w:spacing w:val="0"/>
          <w:sz w:val="24"/>
          <w:szCs w:val="24"/>
          <w:shd w:val="clear" w:fill="FFFFFF"/>
        </w:rPr>
        <w:t>，AI图像解析、社交图谱分析等技术被用于精准定位和攻击个人，使得隐私侵犯从偶然泄露变为可策划的侵害。</w:t>
      </w:r>
    </w:p>
    <w:p w14:paraId="41DB9572">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00" w:lineRule="auto"/>
        <w:ind w:left="0" w:right="0" w:firstLine="0"/>
        <w:textAlignment w:val="auto"/>
        <w:rPr>
          <w:rFonts w:hint="eastAsia" w:ascii="宋体" w:hAnsi="宋体" w:eastAsia="宋体" w:cs="宋体"/>
          <w:b w:val="0"/>
          <w:bCs w:val="0"/>
          <w:i w:val="0"/>
          <w:iCs w:val="0"/>
          <w:caps w:val="0"/>
          <w:color w:val="0F1115"/>
          <w:spacing w:val="0"/>
          <w:sz w:val="24"/>
          <w:szCs w:val="24"/>
        </w:rPr>
      </w:pPr>
      <w:r>
        <w:rPr>
          <w:rStyle w:val="7"/>
          <w:rFonts w:hint="eastAsia" w:ascii="宋体" w:hAnsi="宋体" w:eastAsia="宋体" w:cs="宋体"/>
          <w:b/>
          <w:bCs/>
          <w:i w:val="0"/>
          <w:iCs w:val="0"/>
          <w:caps w:val="0"/>
          <w:color w:val="0F1115"/>
          <w:spacing w:val="0"/>
          <w:sz w:val="24"/>
          <w:szCs w:val="24"/>
          <w:shd w:val="clear" w:fill="FFFFFF"/>
        </w:rPr>
        <w:t>4.3 跨文化语境与平台治理挑战</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lang w:val="en-US" w:eastAsia="zh-CN"/>
        </w:rPr>
        <w:tab/>
      </w:r>
      <w:r>
        <w:rPr>
          <w:rFonts w:hint="eastAsia" w:ascii="宋体" w:hAnsi="宋体" w:eastAsia="宋体" w:cs="宋体"/>
          <w:b w:val="0"/>
          <w:bCs w:val="0"/>
          <w:i w:val="0"/>
          <w:iCs w:val="0"/>
          <w:caps w:val="0"/>
          <w:color w:val="0F1115"/>
          <w:spacing w:val="0"/>
          <w:sz w:val="24"/>
          <w:szCs w:val="24"/>
          <w:shd w:val="clear" w:fill="FFFFFF"/>
        </w:rPr>
        <w:t>全球性社交媒体平台在应对跨国或跨文化危机时，其标准化的内容治理策略常常失灵。以Meta（脸书）在肯尼亚的案例为例，其自动化系统因无法理解当地语言“Tugeges”在特定政治语境下的 nuanced（微妙）含义，而错误地将政治批评标记为“仇恨言论”并删除，构成了对本地化政治对话的不当干预。这揭示了</w:t>
      </w:r>
      <w:r>
        <w:rPr>
          <w:rStyle w:val="7"/>
          <w:rFonts w:hint="eastAsia" w:ascii="宋体" w:hAnsi="宋体" w:eastAsia="宋体" w:cs="宋体"/>
          <w:b w:val="0"/>
          <w:bCs w:val="0"/>
          <w:i w:val="0"/>
          <w:iCs w:val="0"/>
          <w:caps w:val="0"/>
          <w:color w:val="0F1115"/>
          <w:spacing w:val="0"/>
          <w:sz w:val="24"/>
          <w:szCs w:val="24"/>
          <w:shd w:val="clear" w:fill="FFFFFF"/>
        </w:rPr>
        <w:t>全球平台“一刀切”的自动化审核机制与地方性知识之间的深刻矛盾</w:t>
      </w:r>
      <w:r>
        <w:rPr>
          <w:rFonts w:hint="eastAsia" w:ascii="宋体" w:hAnsi="宋体" w:eastAsia="宋体" w:cs="宋体"/>
          <w:b w:val="0"/>
          <w:bCs w:val="0"/>
          <w:i w:val="0"/>
          <w:iCs w:val="0"/>
          <w:caps w:val="0"/>
          <w:color w:val="0F1115"/>
          <w:spacing w:val="0"/>
          <w:sz w:val="24"/>
          <w:szCs w:val="24"/>
          <w:shd w:val="clear" w:fill="FFFFFF"/>
        </w:rPr>
        <w:t>。在危机中，这种矛盾可能导致关键信息被误删，或有害信息因文化误判而未被处理，影响危机沟通的有效性与公正性。</w:t>
      </w:r>
    </w:p>
    <w:p w14:paraId="012A8A3E">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00" w:lineRule="auto"/>
        <w:ind w:left="0" w:right="0" w:firstLine="0"/>
        <w:textAlignment w:val="auto"/>
        <w:rPr>
          <w:rFonts w:hint="eastAsia" w:ascii="宋体" w:hAnsi="宋体" w:eastAsia="宋体" w:cs="宋体"/>
          <w:i w:val="0"/>
          <w:iCs w:val="0"/>
          <w:caps w:val="0"/>
          <w:color w:val="0F1115"/>
          <w:spacing w:val="0"/>
          <w:sz w:val="24"/>
          <w:szCs w:val="24"/>
        </w:rPr>
      </w:pPr>
      <w:r>
        <w:rPr>
          <w:rStyle w:val="7"/>
          <w:rFonts w:hint="eastAsia" w:ascii="宋体" w:hAnsi="宋体" w:eastAsia="宋体" w:cs="宋体"/>
          <w:b/>
          <w:bCs/>
          <w:i w:val="0"/>
          <w:iCs w:val="0"/>
          <w:caps w:val="0"/>
          <w:color w:val="0F1115"/>
          <w:spacing w:val="0"/>
          <w:sz w:val="24"/>
          <w:szCs w:val="24"/>
          <w:shd w:val="clear" w:fill="FFFFFF"/>
        </w:rPr>
        <w:t>4.4 数字鸿沟与伦理责任挑战</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lang w:val="en-US" w:eastAsia="zh-CN"/>
        </w:rPr>
        <w:tab/>
      </w:r>
      <w:r>
        <w:rPr>
          <w:rFonts w:hint="eastAsia" w:ascii="宋体" w:hAnsi="宋体" w:eastAsia="宋体" w:cs="宋体"/>
          <w:b w:val="0"/>
          <w:bCs w:val="0"/>
          <w:i w:val="0"/>
          <w:iCs w:val="0"/>
          <w:caps w:val="0"/>
          <w:color w:val="0F1115"/>
          <w:spacing w:val="0"/>
          <w:sz w:val="24"/>
          <w:szCs w:val="24"/>
          <w:shd w:val="clear" w:fill="FFFFFF"/>
        </w:rPr>
        <w:t>社交媒体大数据驱动的管理可能加剧社会不平等。</w:t>
      </w:r>
      <w:r>
        <w:rPr>
          <w:rStyle w:val="7"/>
          <w:rFonts w:hint="eastAsia" w:ascii="宋体" w:hAnsi="宋体" w:eastAsia="宋体" w:cs="宋体"/>
          <w:b w:val="0"/>
          <w:bCs w:val="0"/>
          <w:i w:val="0"/>
          <w:iCs w:val="0"/>
          <w:caps w:val="0"/>
          <w:color w:val="0F1115"/>
          <w:spacing w:val="0"/>
          <w:sz w:val="24"/>
          <w:szCs w:val="24"/>
          <w:shd w:val="clear" w:fill="FFFFFF"/>
        </w:rPr>
        <w:t>数字鸿沟</w:t>
      </w:r>
      <w:r>
        <w:rPr>
          <w:rFonts w:hint="eastAsia" w:ascii="宋体" w:hAnsi="宋体" w:eastAsia="宋体" w:cs="宋体"/>
          <w:b w:val="0"/>
          <w:bCs w:val="0"/>
          <w:i w:val="0"/>
          <w:iCs w:val="0"/>
          <w:caps w:val="0"/>
          <w:color w:val="0F1115"/>
          <w:spacing w:val="0"/>
          <w:sz w:val="24"/>
          <w:szCs w:val="24"/>
          <w:shd w:val="clear" w:fill="FFFFFF"/>
        </w:rPr>
        <w:t>使得无法或不愿使用社交媒体的群体（如部分老年人、低收入群体）成为“信息孤岛”，其诉求无法通过这一主流渠道被感知和回应。此外，危机中的</w:t>
      </w:r>
      <w:r>
        <w:rPr>
          <w:rStyle w:val="7"/>
          <w:rFonts w:hint="eastAsia" w:ascii="宋体" w:hAnsi="宋体" w:eastAsia="宋体" w:cs="宋体"/>
          <w:b w:val="0"/>
          <w:bCs w:val="0"/>
          <w:i w:val="0"/>
          <w:iCs w:val="0"/>
          <w:caps w:val="0"/>
          <w:color w:val="0F1115"/>
          <w:spacing w:val="0"/>
          <w:sz w:val="24"/>
          <w:szCs w:val="24"/>
          <w:shd w:val="clear" w:fill="FFFFFF"/>
        </w:rPr>
        <w:t>伦理决策责任变得模糊</w:t>
      </w:r>
      <w:r>
        <w:rPr>
          <w:rFonts w:hint="eastAsia" w:ascii="宋体" w:hAnsi="宋体" w:eastAsia="宋体" w:cs="宋体"/>
          <w:b w:val="0"/>
          <w:bCs w:val="0"/>
          <w:i w:val="0"/>
          <w:iCs w:val="0"/>
          <w:caps w:val="0"/>
          <w:color w:val="0F1115"/>
          <w:spacing w:val="0"/>
          <w:sz w:val="24"/>
          <w:szCs w:val="24"/>
          <w:shd w:val="clear" w:fill="FFFFFF"/>
        </w:rPr>
        <w:t>。当算法自动标记“高优先级”灾区或生成处置建议时，一旦决策失误，责任应由开发算法的工程师、部署系统的机构，还是最终签字的指挥者承担？社交媒介影响者在危机传播中扮演关键角色，但其发布“问责信息”的动机与边界缺乏规范，可能出于流量等目的操纵舆论，而对其追责困难。</w:t>
      </w:r>
    </w:p>
    <w:p w14:paraId="1331FA29">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00" w:lineRule="auto"/>
        <w:ind w:left="0" w:right="0" w:firstLine="0"/>
        <w:textAlignment w:val="auto"/>
        <w:rPr>
          <w:rFonts w:hint="eastAsia" w:ascii="宋体" w:hAnsi="宋体" w:eastAsia="宋体" w:cs="宋体"/>
          <w:i w:val="0"/>
          <w:iCs w:val="0"/>
          <w:caps w:val="0"/>
          <w:color w:val="0F1115"/>
          <w:spacing w:val="0"/>
          <w:sz w:val="24"/>
          <w:szCs w:val="24"/>
        </w:rPr>
      </w:pPr>
      <w:r>
        <w:rPr>
          <w:rStyle w:val="7"/>
          <w:rFonts w:hint="eastAsia" w:ascii="宋体" w:hAnsi="宋体" w:eastAsia="宋体" w:cs="宋体"/>
          <w:b/>
          <w:i w:val="0"/>
          <w:iCs w:val="0"/>
          <w:caps w:val="0"/>
          <w:color w:val="0F1115"/>
          <w:spacing w:val="0"/>
          <w:sz w:val="24"/>
          <w:szCs w:val="24"/>
          <w:shd w:val="clear" w:fill="FFFFFF"/>
        </w:rPr>
        <w:t>5. 构建协同治理框架：对策与建议</w:t>
      </w:r>
    </w:p>
    <w:p w14:paraId="0CBFC2C9">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00" w:lineRule="auto"/>
        <w:ind w:left="0" w:right="0" w:firstLine="420" w:firstLineChars="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面对上述挑战，单一的技术修补或行政命令已不足以应对。必须构建一个涵盖技术、制度与人文层面的协同治理框架，引导社交媒体大数据负责任地服务于公共安全。</w:t>
      </w:r>
    </w:p>
    <w:p w14:paraId="625D4444">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00" w:lineRule="auto"/>
        <w:ind w:left="0" w:right="0" w:firstLine="0"/>
        <w:textAlignment w:val="auto"/>
        <w:rPr>
          <w:rFonts w:hint="eastAsia" w:ascii="宋体" w:hAnsi="宋体" w:eastAsia="宋体" w:cs="宋体"/>
          <w:i w:val="0"/>
          <w:iCs w:val="0"/>
          <w:caps w:val="0"/>
          <w:color w:val="0F1115"/>
          <w:spacing w:val="0"/>
          <w:sz w:val="24"/>
          <w:szCs w:val="24"/>
        </w:rPr>
      </w:pPr>
      <w:r>
        <w:rPr>
          <w:rStyle w:val="7"/>
          <w:rFonts w:hint="eastAsia" w:ascii="宋体" w:hAnsi="宋体" w:eastAsia="宋体" w:cs="宋体"/>
          <w:b/>
          <w:bCs/>
          <w:i w:val="0"/>
          <w:iCs w:val="0"/>
          <w:caps w:val="0"/>
          <w:color w:val="0F1115"/>
          <w:spacing w:val="0"/>
          <w:sz w:val="24"/>
          <w:szCs w:val="24"/>
          <w:shd w:val="clear" w:fill="FFFFFF"/>
        </w:rPr>
        <w:t>5.1 技术赋能：发展可信、包容、可解释的智能分析系统</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lang w:val="en-US" w:eastAsia="zh-CN"/>
        </w:rPr>
        <w:tab/>
      </w:r>
      <w:r>
        <w:rPr>
          <w:rFonts w:hint="eastAsia" w:ascii="宋体" w:hAnsi="宋体" w:eastAsia="宋体" w:cs="宋体"/>
          <w:b w:val="0"/>
          <w:bCs w:val="0"/>
          <w:i w:val="0"/>
          <w:iCs w:val="0"/>
          <w:caps w:val="0"/>
          <w:color w:val="0F1115"/>
          <w:spacing w:val="0"/>
          <w:sz w:val="24"/>
          <w:szCs w:val="24"/>
          <w:shd w:val="clear" w:fill="FFFFFF"/>
        </w:rPr>
        <w:t>未来的技术研发应超越单纯的数据处理效率，追求“可信人工智能”。一是研发</w:t>
      </w:r>
      <w:r>
        <w:rPr>
          <w:rStyle w:val="7"/>
          <w:rFonts w:hint="eastAsia" w:ascii="宋体" w:hAnsi="宋体" w:eastAsia="宋体" w:cs="宋体"/>
          <w:b w:val="0"/>
          <w:bCs w:val="0"/>
          <w:i w:val="0"/>
          <w:iCs w:val="0"/>
          <w:caps w:val="0"/>
          <w:color w:val="0F1115"/>
          <w:spacing w:val="0"/>
          <w:sz w:val="24"/>
          <w:szCs w:val="24"/>
          <w:shd w:val="clear" w:fill="FFFFFF"/>
        </w:rPr>
        <w:t>融合多源数据的交叉验证技术</w:t>
      </w:r>
      <w:r>
        <w:rPr>
          <w:rFonts w:hint="eastAsia" w:ascii="宋体" w:hAnsi="宋体" w:eastAsia="宋体" w:cs="宋体"/>
          <w:b w:val="0"/>
          <w:bCs w:val="0"/>
          <w:i w:val="0"/>
          <w:iCs w:val="0"/>
          <w:caps w:val="0"/>
          <w:color w:val="0F1115"/>
          <w:spacing w:val="0"/>
          <w:sz w:val="24"/>
          <w:szCs w:val="24"/>
          <w:shd w:val="clear" w:fill="FFFFFF"/>
        </w:rPr>
        <w:t>，将社交媒体数据与卫星遥感、物联网传感器等数据结合，提升态势感知的准确性。二是开发</w:t>
      </w:r>
      <w:r>
        <w:rPr>
          <w:rStyle w:val="7"/>
          <w:rFonts w:hint="eastAsia" w:ascii="宋体" w:hAnsi="宋体" w:eastAsia="宋体" w:cs="宋体"/>
          <w:b w:val="0"/>
          <w:bCs w:val="0"/>
          <w:i w:val="0"/>
          <w:iCs w:val="0"/>
          <w:caps w:val="0"/>
          <w:color w:val="0F1115"/>
          <w:spacing w:val="0"/>
          <w:sz w:val="24"/>
          <w:szCs w:val="24"/>
          <w:shd w:val="clear" w:fill="FFFFFF"/>
        </w:rPr>
        <w:t>能识别并校正数据偏见的算法</w:t>
      </w:r>
      <w:r>
        <w:rPr>
          <w:rFonts w:hint="eastAsia" w:ascii="宋体" w:hAnsi="宋体" w:eastAsia="宋体" w:cs="宋体"/>
          <w:b w:val="0"/>
          <w:bCs w:val="0"/>
          <w:i w:val="0"/>
          <w:iCs w:val="0"/>
          <w:caps w:val="0"/>
          <w:color w:val="0F1115"/>
          <w:spacing w:val="0"/>
          <w:sz w:val="24"/>
          <w:szCs w:val="24"/>
          <w:shd w:val="clear" w:fill="FFFFFF"/>
        </w:rPr>
        <w:t>，并在系统中嵌入公平性评估指标。三是推动</w:t>
      </w:r>
      <w:r>
        <w:rPr>
          <w:rStyle w:val="7"/>
          <w:rFonts w:hint="eastAsia" w:ascii="宋体" w:hAnsi="宋体" w:eastAsia="宋体" w:cs="宋体"/>
          <w:b w:val="0"/>
          <w:bCs w:val="0"/>
          <w:i w:val="0"/>
          <w:iCs w:val="0"/>
          <w:caps w:val="0"/>
          <w:color w:val="0F1115"/>
          <w:spacing w:val="0"/>
          <w:sz w:val="24"/>
          <w:szCs w:val="24"/>
          <w:shd w:val="clear" w:fill="FFFFFF"/>
        </w:rPr>
        <w:t>人机协同的决策支持模式</w:t>
      </w:r>
      <w:r>
        <w:rPr>
          <w:rFonts w:hint="eastAsia" w:ascii="宋体" w:hAnsi="宋体" w:eastAsia="宋体" w:cs="宋体"/>
          <w:b w:val="0"/>
          <w:bCs w:val="0"/>
          <w:i w:val="0"/>
          <w:iCs w:val="0"/>
          <w:caps w:val="0"/>
          <w:color w:val="0F1115"/>
          <w:spacing w:val="0"/>
          <w:sz w:val="24"/>
          <w:szCs w:val="24"/>
          <w:shd w:val="clear" w:fill="FFFFFF"/>
        </w:rPr>
        <w:t>，算法提供选项与洞察，但将关键决策权留给人类，并确保算法的决策过程尽可能可解释。</w:t>
      </w:r>
    </w:p>
    <w:p w14:paraId="39479733">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00" w:lineRule="auto"/>
        <w:ind w:left="0" w:right="0" w:firstLine="0"/>
        <w:textAlignment w:val="auto"/>
        <w:rPr>
          <w:rFonts w:hint="eastAsia" w:ascii="宋体" w:hAnsi="宋体" w:eastAsia="宋体" w:cs="宋体"/>
          <w:b w:val="0"/>
          <w:bCs w:val="0"/>
          <w:i w:val="0"/>
          <w:iCs w:val="0"/>
          <w:caps w:val="0"/>
          <w:color w:val="0F1115"/>
          <w:spacing w:val="0"/>
          <w:sz w:val="24"/>
          <w:szCs w:val="24"/>
        </w:rPr>
      </w:pPr>
      <w:r>
        <w:rPr>
          <w:rStyle w:val="7"/>
          <w:rFonts w:hint="eastAsia" w:ascii="宋体" w:hAnsi="宋体" w:eastAsia="宋体" w:cs="宋体"/>
          <w:b/>
          <w:bCs/>
          <w:i w:val="0"/>
          <w:iCs w:val="0"/>
          <w:caps w:val="0"/>
          <w:color w:val="0F1115"/>
          <w:spacing w:val="0"/>
          <w:sz w:val="24"/>
          <w:szCs w:val="24"/>
          <w:shd w:val="clear" w:fill="FFFFFF"/>
        </w:rPr>
        <w:t>5.2 制度规约：完善法律、明确责任与创新平台治理</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lang w:val="en-US" w:eastAsia="zh-CN"/>
        </w:rPr>
        <w:tab/>
      </w:r>
      <w:r>
        <w:rPr>
          <w:rFonts w:hint="eastAsia" w:ascii="宋体" w:hAnsi="宋体" w:eastAsia="宋体" w:cs="宋体"/>
          <w:b w:val="0"/>
          <w:bCs w:val="0"/>
          <w:i w:val="0"/>
          <w:iCs w:val="0"/>
          <w:caps w:val="0"/>
          <w:color w:val="0F1115"/>
          <w:spacing w:val="0"/>
          <w:sz w:val="24"/>
          <w:szCs w:val="24"/>
          <w:shd w:val="clear" w:fill="FFFFFF"/>
        </w:rPr>
        <w:t>健全的制度是划定技术应用红线的基石。首先，应</w:t>
      </w:r>
      <w:r>
        <w:rPr>
          <w:rStyle w:val="7"/>
          <w:rFonts w:hint="eastAsia" w:ascii="宋体" w:hAnsi="宋体" w:eastAsia="宋体" w:cs="宋体"/>
          <w:b w:val="0"/>
          <w:bCs w:val="0"/>
          <w:i w:val="0"/>
          <w:iCs w:val="0"/>
          <w:caps w:val="0"/>
          <w:color w:val="0F1115"/>
          <w:spacing w:val="0"/>
          <w:sz w:val="24"/>
          <w:szCs w:val="24"/>
          <w:shd w:val="clear" w:fill="FFFFFF"/>
        </w:rPr>
        <w:t>严格执行《个人信息保护法》《网络安全法》等法律法规</w:t>
      </w:r>
      <w:r>
        <w:rPr>
          <w:rFonts w:hint="eastAsia" w:ascii="宋体" w:hAnsi="宋体" w:eastAsia="宋体" w:cs="宋体"/>
          <w:b w:val="0"/>
          <w:bCs w:val="0"/>
          <w:i w:val="0"/>
          <w:iCs w:val="0"/>
          <w:caps w:val="0"/>
          <w:color w:val="0F1115"/>
          <w:spacing w:val="0"/>
          <w:sz w:val="24"/>
          <w:szCs w:val="24"/>
          <w:shd w:val="clear" w:fill="FFFFFF"/>
        </w:rPr>
        <w:t>，在危机数据收集和使用中贯彻“最小必要”原则，并对“开盒挂人”等违法行为予以严厉打击。其次，</w:t>
      </w:r>
      <w:r>
        <w:rPr>
          <w:rStyle w:val="7"/>
          <w:rFonts w:hint="eastAsia" w:ascii="宋体" w:hAnsi="宋体" w:eastAsia="宋体" w:cs="宋体"/>
          <w:b w:val="0"/>
          <w:bCs w:val="0"/>
          <w:i w:val="0"/>
          <w:iCs w:val="0"/>
          <w:caps w:val="0"/>
          <w:color w:val="0F1115"/>
          <w:spacing w:val="0"/>
          <w:sz w:val="24"/>
          <w:szCs w:val="24"/>
          <w:shd w:val="clear" w:fill="FFFFFF"/>
        </w:rPr>
        <w:t>明确界定各相关方的法律责任</w:t>
      </w:r>
      <w:r>
        <w:rPr>
          <w:rFonts w:hint="eastAsia" w:ascii="宋体" w:hAnsi="宋体" w:eastAsia="宋体" w:cs="宋体"/>
          <w:b w:val="0"/>
          <w:bCs w:val="0"/>
          <w:i w:val="0"/>
          <w:iCs w:val="0"/>
          <w:caps w:val="0"/>
          <w:color w:val="0F1115"/>
          <w:spacing w:val="0"/>
          <w:sz w:val="24"/>
          <w:szCs w:val="24"/>
          <w:shd w:val="clear" w:fill="FFFFFF"/>
        </w:rPr>
        <w:t>，包括数据控制者、处理者、平台运营商及内容发布者的权责边界，特别是厘清算法决策失误时的责任链条。最后，</w:t>
      </w:r>
      <w:r>
        <w:rPr>
          <w:rStyle w:val="7"/>
          <w:rFonts w:hint="eastAsia" w:ascii="宋体" w:hAnsi="宋体" w:eastAsia="宋体" w:cs="宋体"/>
          <w:b w:val="0"/>
          <w:bCs w:val="0"/>
          <w:i w:val="0"/>
          <w:iCs w:val="0"/>
          <w:caps w:val="0"/>
          <w:color w:val="0F1115"/>
          <w:spacing w:val="0"/>
          <w:sz w:val="24"/>
          <w:szCs w:val="24"/>
          <w:shd w:val="clear" w:fill="FFFFFF"/>
        </w:rPr>
        <w:t>推动平台治理机制的创新</w:t>
      </w:r>
      <w:r>
        <w:rPr>
          <w:rFonts w:hint="eastAsia" w:ascii="宋体" w:hAnsi="宋体" w:eastAsia="宋体" w:cs="宋体"/>
          <w:b w:val="0"/>
          <w:bCs w:val="0"/>
          <w:i w:val="0"/>
          <w:iCs w:val="0"/>
          <w:caps w:val="0"/>
          <w:color w:val="0F1115"/>
          <w:spacing w:val="0"/>
          <w:sz w:val="24"/>
          <w:szCs w:val="24"/>
          <w:shd w:val="clear" w:fill="FFFFFF"/>
        </w:rPr>
        <w:t>，鼓励平台建立融入本地专家知识的审核机制，如肯尼亚的国家表达自由与内容审核联盟（FeCoMo）模式，以应对文化语境挑战。</w:t>
      </w:r>
    </w:p>
    <w:p w14:paraId="26B48FDB">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00" w:lineRule="auto"/>
        <w:ind w:left="0" w:right="0" w:firstLine="0"/>
        <w:textAlignment w:val="auto"/>
        <w:rPr>
          <w:rFonts w:hint="eastAsia" w:ascii="宋体" w:hAnsi="宋体" w:eastAsia="宋体" w:cs="宋体"/>
          <w:b w:val="0"/>
          <w:bCs w:val="0"/>
          <w:i w:val="0"/>
          <w:iCs w:val="0"/>
          <w:caps w:val="0"/>
          <w:color w:val="0F1115"/>
          <w:spacing w:val="0"/>
          <w:sz w:val="24"/>
          <w:szCs w:val="24"/>
        </w:rPr>
      </w:pPr>
      <w:r>
        <w:rPr>
          <w:rStyle w:val="7"/>
          <w:rFonts w:hint="eastAsia" w:ascii="宋体" w:hAnsi="宋体" w:eastAsia="宋体" w:cs="宋体"/>
          <w:b/>
          <w:bCs/>
          <w:i w:val="0"/>
          <w:iCs w:val="0"/>
          <w:caps w:val="0"/>
          <w:color w:val="0F1115"/>
          <w:spacing w:val="0"/>
          <w:sz w:val="24"/>
          <w:szCs w:val="24"/>
          <w:shd w:val="clear" w:fill="FFFFFF"/>
        </w:rPr>
        <w:t>5.3 人文协同：提升公众素养与构建多元共治格局</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lang w:val="en-US" w:eastAsia="zh-CN"/>
        </w:rPr>
        <w:tab/>
      </w:r>
      <w:r>
        <w:rPr>
          <w:rFonts w:hint="eastAsia" w:ascii="宋体" w:hAnsi="宋体" w:eastAsia="宋体" w:cs="宋体"/>
          <w:b w:val="0"/>
          <w:bCs w:val="0"/>
          <w:i w:val="0"/>
          <w:iCs w:val="0"/>
          <w:caps w:val="0"/>
          <w:color w:val="0F1115"/>
          <w:spacing w:val="0"/>
          <w:sz w:val="24"/>
          <w:szCs w:val="24"/>
          <w:shd w:val="clear" w:fill="FFFFFF"/>
        </w:rPr>
        <w:t>技术工具的善治最终依赖于人的素养与协作。一方面，要</w:t>
      </w:r>
      <w:r>
        <w:rPr>
          <w:rStyle w:val="7"/>
          <w:rFonts w:hint="eastAsia" w:ascii="宋体" w:hAnsi="宋体" w:eastAsia="宋体" w:cs="宋体"/>
          <w:b w:val="0"/>
          <w:bCs w:val="0"/>
          <w:i w:val="0"/>
          <w:iCs w:val="0"/>
          <w:caps w:val="0"/>
          <w:color w:val="0F1115"/>
          <w:spacing w:val="0"/>
          <w:sz w:val="24"/>
          <w:szCs w:val="24"/>
          <w:shd w:val="clear" w:fill="FFFFFF"/>
        </w:rPr>
        <w:t>大力提升全民数字素养与危机素养</w:t>
      </w:r>
      <w:r>
        <w:rPr>
          <w:rFonts w:hint="eastAsia" w:ascii="宋体" w:hAnsi="宋体" w:eastAsia="宋体" w:cs="宋体"/>
          <w:b w:val="0"/>
          <w:bCs w:val="0"/>
          <w:i w:val="0"/>
          <w:iCs w:val="0"/>
          <w:caps w:val="0"/>
          <w:color w:val="0F1115"/>
          <w:spacing w:val="0"/>
          <w:sz w:val="24"/>
          <w:szCs w:val="24"/>
          <w:shd w:val="clear" w:fill="FFFFFF"/>
        </w:rPr>
        <w:t>，通过教育使公众具备辨识虚假信息、保护个人隐私、理性参与危机讨论的能力，从源头上净化数据生态。另一方面，</w:t>
      </w:r>
      <w:r>
        <w:rPr>
          <w:rStyle w:val="7"/>
          <w:rFonts w:hint="eastAsia" w:ascii="宋体" w:hAnsi="宋体" w:eastAsia="宋体" w:cs="宋体"/>
          <w:b w:val="0"/>
          <w:bCs w:val="0"/>
          <w:i w:val="0"/>
          <w:iCs w:val="0"/>
          <w:caps w:val="0"/>
          <w:color w:val="0F1115"/>
          <w:spacing w:val="0"/>
          <w:sz w:val="24"/>
          <w:szCs w:val="24"/>
          <w:shd w:val="clear" w:fill="FFFFFF"/>
        </w:rPr>
        <w:t>构建政府、平台、专业机构、社区组织与公众多元参与的协同治理网络</w:t>
      </w:r>
      <w:r>
        <w:rPr>
          <w:rFonts w:hint="eastAsia" w:ascii="宋体" w:hAnsi="宋体" w:eastAsia="宋体" w:cs="宋体"/>
          <w:b w:val="0"/>
          <w:bCs w:val="0"/>
          <w:i w:val="0"/>
          <w:iCs w:val="0"/>
          <w:caps w:val="0"/>
          <w:color w:val="0F1115"/>
          <w:spacing w:val="0"/>
          <w:sz w:val="24"/>
          <w:szCs w:val="24"/>
          <w:shd w:val="clear" w:fill="FFFFFF"/>
        </w:rPr>
        <w:t>。政府负责战略规划与监管；平台履行安全保障与合规责任；专业机构（如高校、智库）提供独立评估与技术支持；社区组织和公众则进行在地化信息核实与互助。这种网络化结构能增强社会整体的危机应对韧性。</w:t>
      </w:r>
    </w:p>
    <w:p w14:paraId="4E08A112">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00" w:lineRule="auto"/>
        <w:ind w:left="0" w:right="0" w:firstLine="0"/>
        <w:textAlignment w:val="auto"/>
        <w:rPr>
          <w:rFonts w:hint="eastAsia" w:ascii="宋体" w:hAnsi="宋体" w:eastAsia="宋体" w:cs="宋体"/>
          <w:i w:val="0"/>
          <w:iCs w:val="0"/>
          <w:caps w:val="0"/>
          <w:color w:val="0F1115"/>
          <w:spacing w:val="0"/>
          <w:sz w:val="24"/>
          <w:szCs w:val="24"/>
        </w:rPr>
      </w:pPr>
      <w:r>
        <w:rPr>
          <w:rStyle w:val="7"/>
          <w:rFonts w:hint="eastAsia" w:ascii="宋体" w:hAnsi="宋体" w:eastAsia="宋体" w:cs="宋体"/>
          <w:b/>
          <w:i w:val="0"/>
          <w:iCs w:val="0"/>
          <w:caps w:val="0"/>
          <w:color w:val="0F1115"/>
          <w:spacing w:val="0"/>
          <w:sz w:val="24"/>
          <w:szCs w:val="24"/>
          <w:shd w:val="clear" w:fill="FFFFFF"/>
        </w:rPr>
        <w:t>6. 结论</w:t>
      </w:r>
    </w:p>
    <w:p w14:paraId="7970CD58">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0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社交媒体大数据为公共危机管理开启了一扇“社会感知之窗”，极大地提升了危机响应的速度、广度与精准度，是信息工程赋能社会治理的生动体现。然而，透过这扇窗看到的图景可能失真，打开这扇窗的同时也可能带来新的风险。数据偏见、隐私危机、算法霸权与数字鸿沟等挑战警示我们，技术工具的革新必须与制度规则的完善、人文价值的守护同步演进。</w:t>
      </w:r>
    </w:p>
    <w:p w14:paraId="2388C4C6">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0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本研究从“工程与社会”的整合视角出发，论证了社交媒体大数据在危机管理中的应用已从信息辅助工具，演进为重塑管理流程的关键要素。其健康发展有赖于构建一个 </w:t>
      </w:r>
      <w:r>
        <w:rPr>
          <w:rStyle w:val="7"/>
          <w:rFonts w:hint="eastAsia" w:ascii="宋体" w:hAnsi="宋体" w:eastAsia="宋体" w:cs="宋体"/>
          <w:b w:val="0"/>
          <w:bCs w:val="0"/>
          <w:i w:val="0"/>
          <w:iCs w:val="0"/>
          <w:caps w:val="0"/>
          <w:color w:val="0F1115"/>
          <w:spacing w:val="0"/>
          <w:sz w:val="24"/>
          <w:szCs w:val="24"/>
          <w:shd w:val="clear" w:fill="FFFFFF"/>
        </w:rPr>
        <w:t>“技术赋能—制度规约—人文协同”的三位一体治理框架</w:t>
      </w:r>
      <w:r>
        <w:rPr>
          <w:rFonts w:hint="eastAsia" w:ascii="宋体" w:hAnsi="宋体" w:eastAsia="宋体" w:cs="宋体"/>
          <w:b w:val="0"/>
          <w:bCs w:val="0"/>
          <w:i w:val="0"/>
          <w:iCs w:val="0"/>
          <w:caps w:val="0"/>
          <w:color w:val="0F1115"/>
          <w:spacing w:val="0"/>
          <w:sz w:val="24"/>
          <w:szCs w:val="24"/>
          <w:shd w:val="clear" w:fill="FFFFFF"/>
        </w:rPr>
        <w:t>。未来，我们需要的不是对技术的简单拒斥或盲目崇拜，而是在深刻理解其社会效应的基础上，通过持续的制度创新、伦理反思与社会对话，驾驭这项技术力量，使其真正服务于构建更具韧性、更加公平、更有人文关怀的数字社会。这既是危机管理现代化的要求，也是我们在数字时代必须回答的工程与社会命题。</w:t>
      </w:r>
    </w:p>
    <w:p w14:paraId="1313DEB7">
      <w:pPr>
        <w:pStyle w:val="4"/>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4"/>
          <w:szCs w:val="24"/>
          <w:shd w:val="clear" w:fill="FFFFFF"/>
        </w:rPr>
      </w:pPr>
    </w:p>
    <w:p w14:paraId="1EDEFC98">
      <w:pPr>
        <w:pStyle w:val="4"/>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4"/>
          <w:szCs w:val="24"/>
          <w:shd w:val="clear" w:fill="FFFFFF"/>
        </w:rPr>
      </w:pPr>
    </w:p>
    <w:p w14:paraId="06FED597">
      <w:pPr>
        <w:pStyle w:val="4"/>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4"/>
          <w:szCs w:val="24"/>
          <w:shd w:val="clear" w:fill="FFFFFF"/>
        </w:rPr>
      </w:pPr>
    </w:p>
    <w:p w14:paraId="7292CFDB">
      <w:pPr>
        <w:pStyle w:val="4"/>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4"/>
          <w:szCs w:val="24"/>
          <w:shd w:val="clear" w:fill="FFFFFF"/>
        </w:rPr>
      </w:pPr>
    </w:p>
    <w:p w14:paraId="50FF7AA1">
      <w:pPr>
        <w:pStyle w:val="4"/>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4"/>
          <w:szCs w:val="24"/>
          <w:shd w:val="clear" w:fill="FFFFFF"/>
        </w:rPr>
      </w:pPr>
    </w:p>
    <w:p w14:paraId="3286CCF9">
      <w:pPr>
        <w:pStyle w:val="4"/>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4"/>
          <w:szCs w:val="24"/>
          <w:shd w:val="clear" w:fill="FFFFFF"/>
        </w:rPr>
      </w:pPr>
    </w:p>
    <w:p w14:paraId="1CC77388">
      <w:pPr>
        <w:pStyle w:val="4"/>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4"/>
          <w:szCs w:val="24"/>
          <w:shd w:val="clear" w:fill="FFFFFF"/>
        </w:rPr>
      </w:pPr>
    </w:p>
    <w:p w14:paraId="00D9AF01">
      <w:pPr>
        <w:pStyle w:val="4"/>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4"/>
          <w:szCs w:val="24"/>
          <w:shd w:val="clear" w:fill="FFFFFF"/>
        </w:rPr>
      </w:pPr>
    </w:p>
    <w:p w14:paraId="5D8BDB50">
      <w:pPr>
        <w:pStyle w:val="4"/>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4"/>
          <w:szCs w:val="24"/>
          <w:shd w:val="clear" w:fill="FFFFFF"/>
        </w:rPr>
      </w:pPr>
    </w:p>
    <w:p w14:paraId="66613360">
      <w:pPr>
        <w:pStyle w:val="4"/>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val="0"/>
          <w:bCs w:val="0"/>
          <w:i w:val="0"/>
          <w:iCs w:val="0"/>
          <w:caps w:val="0"/>
          <w:color w:val="0F1115"/>
          <w:spacing w:val="0"/>
          <w:sz w:val="24"/>
          <w:szCs w:val="24"/>
          <w:shd w:val="clear" w:fill="FFFFFF"/>
        </w:rPr>
      </w:pPr>
    </w:p>
    <w:p w14:paraId="454CB94A">
      <w:pPr>
        <w:pStyle w:val="4"/>
        <w:keepNext w:val="0"/>
        <w:keepLines w:val="0"/>
        <w:widowControl/>
        <w:suppressLineNumbers w:val="0"/>
        <w:shd w:val="clear" w:fill="FFFFFF"/>
        <w:spacing w:before="192" w:beforeAutospacing="0" w:after="192" w:afterAutospacing="0"/>
        <w:ind w:left="0" w:right="0" w:firstLine="0"/>
        <w:rPr>
          <w:rFonts w:hint="default" w:ascii="宋体" w:hAnsi="宋体" w:eastAsia="宋体" w:cs="宋体"/>
          <w:b w:val="0"/>
          <w:bCs w:val="0"/>
          <w:i w:val="0"/>
          <w:iCs w:val="0"/>
          <w:caps w:val="0"/>
          <w:color w:val="0F1115"/>
          <w:spacing w:val="0"/>
          <w:sz w:val="24"/>
          <w:szCs w:val="24"/>
          <w:shd w:val="clear" w:fill="FFFFFF"/>
        </w:rPr>
      </w:pPr>
    </w:p>
    <w:p w14:paraId="492D6DD5">
      <w:pPr>
        <w:pStyle w:val="4"/>
        <w:keepNext w:val="0"/>
        <w:keepLines w:val="0"/>
        <w:widowControl/>
        <w:suppressLineNumbers w:val="0"/>
        <w:shd w:val="clear" w:fill="FFFFFF"/>
        <w:spacing w:before="192" w:beforeAutospacing="0" w:after="192" w:afterAutospacing="0"/>
        <w:ind w:left="0" w:right="0" w:firstLine="0"/>
        <w:rPr>
          <w:rFonts w:hint="default" w:ascii="宋体" w:hAnsi="宋体" w:eastAsia="宋体" w:cs="宋体"/>
          <w:b w:val="0"/>
          <w:bCs w:val="0"/>
          <w:i w:val="0"/>
          <w:iCs w:val="0"/>
          <w:caps w:val="0"/>
          <w:color w:val="0F1115"/>
          <w:spacing w:val="0"/>
          <w:sz w:val="24"/>
          <w:szCs w:val="24"/>
          <w:shd w:val="clear" w:fill="FFFFFF"/>
        </w:rPr>
      </w:pPr>
    </w:p>
    <w:p w14:paraId="733F77F8">
      <w:pPr>
        <w:pStyle w:val="4"/>
        <w:keepNext w:val="0"/>
        <w:keepLines w:val="0"/>
        <w:widowControl/>
        <w:suppressLineNumbers w:val="0"/>
        <w:shd w:val="clear" w:fill="FFFFFF"/>
        <w:spacing w:before="192" w:beforeAutospacing="0" w:after="192" w:afterAutospacing="0"/>
        <w:ind w:left="0" w:right="0" w:firstLine="0"/>
        <w:rPr>
          <w:rFonts w:hint="default" w:ascii="宋体" w:hAnsi="宋体" w:eastAsia="宋体" w:cs="宋体"/>
          <w:b w:val="0"/>
          <w:bCs w:val="0"/>
          <w:i w:val="0"/>
          <w:iCs w:val="0"/>
          <w:caps w:val="0"/>
          <w:color w:val="0F1115"/>
          <w:spacing w:val="0"/>
          <w:sz w:val="24"/>
          <w:szCs w:val="24"/>
          <w:shd w:val="clear" w:fill="FFFFFF"/>
        </w:rPr>
      </w:pPr>
    </w:p>
    <w:p w14:paraId="61EB4308">
      <w:pPr>
        <w:pStyle w:val="4"/>
        <w:keepNext w:val="0"/>
        <w:keepLines w:val="0"/>
        <w:widowControl/>
        <w:suppressLineNumbers w:val="0"/>
        <w:shd w:val="clear" w:fill="FFFFFF"/>
        <w:spacing w:before="192" w:beforeAutospacing="0" w:after="192" w:afterAutospacing="0"/>
        <w:ind w:left="0" w:right="0" w:firstLine="0"/>
        <w:rPr>
          <w:rFonts w:hint="default" w:ascii="宋体" w:hAnsi="宋体" w:eastAsia="宋体" w:cs="宋体"/>
          <w:b w:val="0"/>
          <w:bCs w:val="0"/>
          <w:i w:val="0"/>
          <w:iCs w:val="0"/>
          <w:caps w:val="0"/>
          <w:color w:val="0F1115"/>
          <w:spacing w:val="0"/>
          <w:sz w:val="24"/>
          <w:szCs w:val="24"/>
          <w:shd w:val="clear" w:fill="FFFFFF"/>
        </w:rPr>
      </w:pPr>
    </w:p>
    <w:p w14:paraId="0F535B05">
      <w:pPr>
        <w:pStyle w:val="4"/>
        <w:keepNext w:val="0"/>
        <w:keepLines w:val="0"/>
        <w:widowControl/>
        <w:suppressLineNumbers w:val="0"/>
        <w:shd w:val="clear" w:fill="FFFFFF"/>
        <w:spacing w:before="192" w:beforeAutospacing="0" w:after="192" w:afterAutospacing="0"/>
        <w:ind w:left="0" w:right="0" w:firstLine="0"/>
        <w:rPr>
          <w:rFonts w:hint="default" w:ascii="宋体" w:hAnsi="宋体" w:eastAsia="宋体" w:cs="宋体"/>
          <w:b w:val="0"/>
          <w:bCs w:val="0"/>
          <w:i w:val="0"/>
          <w:iCs w:val="0"/>
          <w:caps w:val="0"/>
          <w:color w:val="0F1115"/>
          <w:spacing w:val="0"/>
          <w:sz w:val="24"/>
          <w:szCs w:val="24"/>
          <w:shd w:val="clear" w:fill="FFFFFF"/>
        </w:rPr>
      </w:pPr>
    </w:p>
    <w:p w14:paraId="51A9D09D">
      <w:pPr>
        <w:pStyle w:val="4"/>
        <w:keepNext w:val="0"/>
        <w:keepLines w:val="0"/>
        <w:widowControl/>
        <w:suppressLineNumbers w:val="0"/>
        <w:shd w:val="clear" w:fill="FFFFFF"/>
        <w:spacing w:before="192" w:beforeAutospacing="0" w:after="192" w:afterAutospacing="0"/>
        <w:ind w:left="0" w:right="0" w:firstLine="0"/>
        <w:rPr>
          <w:rFonts w:hint="default" w:ascii="宋体" w:hAnsi="宋体" w:eastAsia="宋体" w:cs="宋体"/>
          <w:b w:val="0"/>
          <w:bCs w:val="0"/>
          <w:i w:val="0"/>
          <w:iCs w:val="0"/>
          <w:caps w:val="0"/>
          <w:color w:val="0F1115"/>
          <w:spacing w:val="0"/>
          <w:sz w:val="24"/>
          <w:szCs w:val="24"/>
          <w:shd w:val="clear" w:fill="FFFFFF"/>
        </w:rPr>
      </w:pPr>
    </w:p>
    <w:p w14:paraId="1107ADF9">
      <w:pPr>
        <w:pStyle w:val="4"/>
        <w:keepNext w:val="0"/>
        <w:keepLines w:val="0"/>
        <w:widowControl/>
        <w:suppressLineNumbers w:val="0"/>
        <w:shd w:val="clear" w:fill="FFFFFF"/>
        <w:spacing w:before="192" w:beforeAutospacing="0" w:after="192" w:afterAutospacing="0"/>
        <w:ind w:left="0" w:right="0" w:firstLine="0"/>
        <w:rPr>
          <w:rFonts w:hint="default" w:ascii="宋体" w:hAnsi="宋体" w:eastAsia="宋体" w:cs="宋体"/>
          <w:b w:val="0"/>
          <w:bCs w:val="0"/>
          <w:i w:val="0"/>
          <w:iCs w:val="0"/>
          <w:caps w:val="0"/>
          <w:color w:val="0F1115"/>
          <w:spacing w:val="0"/>
          <w:sz w:val="24"/>
          <w:szCs w:val="24"/>
          <w:shd w:val="clear" w:fill="FFFFFF"/>
        </w:rPr>
      </w:pPr>
    </w:p>
    <w:p w14:paraId="397F7E9E">
      <w:pPr>
        <w:pStyle w:val="4"/>
        <w:keepNext w:val="0"/>
        <w:keepLines w:val="0"/>
        <w:widowControl/>
        <w:suppressLineNumbers w:val="0"/>
        <w:shd w:val="clear" w:fill="FFFFFF"/>
        <w:spacing w:before="192" w:beforeAutospacing="0" w:after="192" w:afterAutospacing="0"/>
        <w:ind w:left="0" w:right="0" w:firstLine="0"/>
        <w:rPr>
          <w:rFonts w:hint="default" w:ascii="宋体" w:hAnsi="宋体" w:eastAsia="宋体" w:cs="宋体"/>
          <w:b w:val="0"/>
          <w:bCs w:val="0"/>
          <w:i w:val="0"/>
          <w:iCs w:val="0"/>
          <w:caps w:val="0"/>
          <w:color w:val="0F1115"/>
          <w:spacing w:val="0"/>
          <w:sz w:val="24"/>
          <w:szCs w:val="24"/>
          <w:shd w:val="clear" w:fill="FFFFFF"/>
        </w:rPr>
      </w:pPr>
    </w:p>
    <w:p w14:paraId="0EF51BF6">
      <w:pPr>
        <w:pStyle w:val="4"/>
        <w:keepNext w:val="0"/>
        <w:keepLines w:val="0"/>
        <w:widowControl/>
        <w:suppressLineNumbers w:val="0"/>
        <w:shd w:val="clear" w:fill="FFFFFF"/>
        <w:spacing w:before="192" w:beforeAutospacing="0" w:after="192" w:afterAutospacing="0"/>
        <w:ind w:left="0" w:right="0" w:firstLine="0"/>
        <w:rPr>
          <w:rFonts w:hint="default" w:ascii="宋体" w:hAnsi="宋体" w:eastAsia="宋体" w:cs="宋体"/>
          <w:b w:val="0"/>
          <w:bCs w:val="0"/>
          <w:i w:val="0"/>
          <w:iCs w:val="0"/>
          <w:caps w:val="0"/>
          <w:color w:val="0F1115"/>
          <w:spacing w:val="0"/>
          <w:sz w:val="24"/>
          <w:szCs w:val="24"/>
          <w:shd w:val="clear" w:fill="FFFFFF"/>
        </w:rPr>
      </w:pPr>
    </w:p>
    <w:p w14:paraId="69A7A067">
      <w:pPr>
        <w:pStyle w:val="4"/>
        <w:keepNext w:val="0"/>
        <w:keepLines w:val="0"/>
        <w:widowControl/>
        <w:suppressLineNumbers w:val="0"/>
        <w:shd w:val="clear" w:fill="FFFFFF"/>
        <w:spacing w:before="192" w:beforeAutospacing="0" w:after="192" w:afterAutospacing="0"/>
        <w:ind w:left="0" w:right="0" w:firstLine="0"/>
        <w:rPr>
          <w:rFonts w:hint="default" w:ascii="宋体" w:hAnsi="宋体" w:eastAsia="宋体" w:cs="宋体"/>
          <w:b w:val="0"/>
          <w:bCs w:val="0"/>
          <w:i w:val="0"/>
          <w:iCs w:val="0"/>
          <w:caps w:val="0"/>
          <w:color w:val="0F1115"/>
          <w:spacing w:val="0"/>
          <w:sz w:val="24"/>
          <w:szCs w:val="24"/>
          <w:shd w:val="clear" w:fill="FFFFFF"/>
        </w:rPr>
      </w:pPr>
    </w:p>
    <w:p w14:paraId="7E505CFD">
      <w:pPr>
        <w:pStyle w:val="4"/>
        <w:keepNext w:val="0"/>
        <w:keepLines w:val="0"/>
        <w:widowControl/>
        <w:suppressLineNumbers w:val="0"/>
        <w:shd w:val="clear" w:fill="FFFFFF"/>
        <w:spacing w:before="192" w:beforeAutospacing="0" w:after="192" w:afterAutospacing="0"/>
        <w:ind w:left="0" w:right="0" w:firstLine="0"/>
        <w:rPr>
          <w:rFonts w:hint="default" w:ascii="宋体" w:hAnsi="宋体" w:eastAsia="宋体" w:cs="宋体"/>
          <w:b w:val="0"/>
          <w:bCs w:val="0"/>
          <w:i w:val="0"/>
          <w:iCs w:val="0"/>
          <w:caps w:val="0"/>
          <w:color w:val="0F1115"/>
          <w:spacing w:val="0"/>
          <w:sz w:val="24"/>
          <w:szCs w:val="24"/>
          <w:shd w:val="clear" w:fill="FFFFFF"/>
        </w:rPr>
      </w:pPr>
    </w:p>
    <w:p w14:paraId="4E17B09A">
      <w:pPr>
        <w:pStyle w:val="4"/>
        <w:keepNext w:val="0"/>
        <w:keepLines w:val="0"/>
        <w:widowControl/>
        <w:suppressLineNumbers w:val="0"/>
        <w:shd w:val="clear" w:fill="FFFFFF"/>
        <w:spacing w:before="192" w:beforeAutospacing="0" w:after="192" w:afterAutospacing="0"/>
        <w:ind w:left="0" w:right="0" w:firstLine="0"/>
        <w:rPr>
          <w:rFonts w:hint="default" w:ascii="宋体" w:hAnsi="宋体" w:eastAsia="宋体" w:cs="宋体"/>
          <w:b w:val="0"/>
          <w:bCs w:val="0"/>
          <w:i w:val="0"/>
          <w:iCs w:val="0"/>
          <w:caps w:val="0"/>
          <w:color w:val="0F1115"/>
          <w:spacing w:val="0"/>
          <w:sz w:val="24"/>
          <w:szCs w:val="24"/>
          <w:shd w:val="clear" w:fill="FFFFFF"/>
        </w:rPr>
      </w:pPr>
    </w:p>
    <w:p w14:paraId="5E7BD56F">
      <w:pPr>
        <w:pStyle w:val="4"/>
        <w:keepNext w:val="0"/>
        <w:keepLines w:val="0"/>
        <w:widowControl/>
        <w:suppressLineNumbers w:val="0"/>
        <w:shd w:val="clear" w:fill="FFFFFF"/>
        <w:spacing w:before="192" w:beforeAutospacing="0" w:after="192" w:afterAutospacing="0"/>
        <w:ind w:left="0" w:right="0" w:firstLine="0"/>
        <w:rPr>
          <w:rFonts w:hint="default" w:ascii="宋体" w:hAnsi="宋体" w:eastAsia="宋体" w:cs="宋体"/>
          <w:b w:val="0"/>
          <w:bCs w:val="0"/>
          <w:i w:val="0"/>
          <w:iCs w:val="0"/>
          <w:caps w:val="0"/>
          <w:color w:val="0F1115"/>
          <w:spacing w:val="0"/>
          <w:sz w:val="24"/>
          <w:szCs w:val="24"/>
          <w:shd w:val="clear" w:fill="FFFFFF"/>
        </w:rPr>
      </w:pPr>
    </w:p>
    <w:p w14:paraId="26682BE1">
      <w:pPr>
        <w:pStyle w:val="4"/>
        <w:keepNext w:val="0"/>
        <w:keepLines w:val="0"/>
        <w:widowControl/>
        <w:suppressLineNumbers w:val="0"/>
        <w:shd w:val="clear" w:fill="FFFFFF"/>
        <w:spacing w:before="192" w:beforeAutospacing="0" w:after="192" w:afterAutospacing="0"/>
        <w:ind w:left="0" w:right="0" w:firstLine="0"/>
        <w:rPr>
          <w:rFonts w:hint="default" w:ascii="宋体" w:hAnsi="宋体" w:eastAsia="宋体" w:cs="宋体"/>
          <w:b w:val="0"/>
          <w:bCs w:val="0"/>
          <w:i w:val="0"/>
          <w:iCs w:val="0"/>
          <w:caps w:val="0"/>
          <w:color w:val="0F1115"/>
          <w:spacing w:val="0"/>
          <w:sz w:val="24"/>
          <w:szCs w:val="24"/>
          <w:shd w:val="clear" w:fill="FFFFFF"/>
        </w:rPr>
      </w:pPr>
    </w:p>
    <w:p w14:paraId="071E1771">
      <w:pPr>
        <w:pStyle w:val="4"/>
        <w:keepNext w:val="0"/>
        <w:keepLines w:val="0"/>
        <w:widowControl/>
        <w:suppressLineNumbers w:val="0"/>
        <w:shd w:val="clear" w:fill="FFFFFF"/>
        <w:spacing w:before="192" w:beforeAutospacing="0" w:after="192" w:afterAutospacing="0"/>
        <w:ind w:left="0" w:right="0" w:firstLine="0"/>
        <w:rPr>
          <w:rFonts w:hint="default" w:ascii="宋体" w:hAnsi="宋体" w:eastAsia="宋体" w:cs="宋体"/>
          <w:b w:val="0"/>
          <w:bCs w:val="0"/>
          <w:i w:val="0"/>
          <w:iCs w:val="0"/>
          <w:caps w:val="0"/>
          <w:color w:val="0F1115"/>
          <w:spacing w:val="0"/>
          <w:sz w:val="24"/>
          <w:szCs w:val="24"/>
          <w:shd w:val="clear" w:fill="FFFFFF"/>
        </w:rPr>
      </w:pPr>
    </w:p>
    <w:p w14:paraId="61B3BD73">
      <w:pPr>
        <w:pStyle w:val="4"/>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b/>
          <w:bCs/>
          <w:i w:val="0"/>
          <w:iCs w:val="0"/>
          <w:caps w:val="0"/>
          <w:color w:val="0F1115"/>
          <w:spacing w:val="0"/>
          <w:sz w:val="24"/>
          <w:szCs w:val="24"/>
        </w:rPr>
      </w:pPr>
      <w:r>
        <w:rPr>
          <w:rStyle w:val="7"/>
          <w:rFonts w:hint="eastAsia" w:ascii="宋体" w:hAnsi="宋体" w:eastAsia="宋体" w:cs="宋体"/>
          <w:b/>
          <w:bCs/>
          <w:i w:val="0"/>
          <w:iCs w:val="0"/>
          <w:caps w:val="0"/>
          <w:color w:val="0F1115"/>
          <w:spacing w:val="0"/>
          <w:sz w:val="24"/>
          <w:szCs w:val="24"/>
          <w:shd w:val="clear" w:fill="FFFFFF"/>
        </w:rPr>
        <w:t>参考文献</w:t>
      </w:r>
    </w:p>
    <w:p w14:paraId="2B3CEB8B">
      <w:pPr>
        <w:pStyle w:val="4"/>
        <w:keepNext w:val="0"/>
        <w:keepLines w:val="0"/>
        <w:widowControl/>
        <w:suppressLineNumbers w:val="0"/>
        <w:shd w:val="clear" w:fill="FFFFFF"/>
        <w:spacing w:before="192" w:beforeAutospacing="0" w:after="0"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[1] Enhancing Trustworthiness and Minimising Bias Issues in Leveraging Social Media Data for Disaster Management Response. </w:t>
      </w:r>
      <w:r>
        <w:rPr>
          <w:rStyle w:val="8"/>
          <w:rFonts w:hint="eastAsia" w:ascii="宋体" w:hAnsi="宋体" w:eastAsia="宋体" w:cs="宋体"/>
          <w:i w:val="0"/>
          <w:iCs w:val="0"/>
          <w:caps w:val="0"/>
          <w:color w:val="0F1115"/>
          <w:spacing w:val="0"/>
          <w:sz w:val="24"/>
          <w:szCs w:val="24"/>
          <w:shd w:val="clear" w:fill="FFFFFF"/>
        </w:rPr>
        <w:t>arXiv</w:t>
      </w:r>
      <w:r>
        <w:rPr>
          <w:rFonts w:hint="eastAsia" w:ascii="宋体" w:hAnsi="宋体" w:eastAsia="宋体" w:cs="宋体"/>
          <w:i w:val="0"/>
          <w:iCs w:val="0"/>
          <w:caps w:val="0"/>
          <w:color w:val="0F1115"/>
          <w:spacing w:val="0"/>
          <w:sz w:val="24"/>
          <w:szCs w:val="24"/>
          <w:shd w:val="clear" w:fill="FFFFFF"/>
        </w:rPr>
        <w:t>, 2024.</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t>[2] 社交媒体平台公共危机传播治理：理论进路与实践探索. </w:t>
      </w:r>
      <w:r>
        <w:rPr>
          <w:rStyle w:val="8"/>
          <w:rFonts w:hint="eastAsia" w:ascii="宋体" w:hAnsi="宋体" w:eastAsia="宋体" w:cs="宋体"/>
          <w:i w:val="0"/>
          <w:iCs w:val="0"/>
          <w:caps w:val="0"/>
          <w:color w:val="0F1115"/>
          <w:spacing w:val="0"/>
          <w:sz w:val="24"/>
          <w:szCs w:val="24"/>
          <w:shd w:val="clear" w:fill="FFFFFF"/>
        </w:rPr>
        <w:t>中国行政管理</w:t>
      </w:r>
      <w:r>
        <w:rPr>
          <w:rFonts w:hint="eastAsia" w:ascii="宋体" w:hAnsi="宋体" w:eastAsia="宋体" w:cs="宋体"/>
          <w:i w:val="0"/>
          <w:iCs w:val="0"/>
          <w:caps w:val="0"/>
          <w:color w:val="0F1115"/>
          <w:spacing w:val="0"/>
          <w:sz w:val="24"/>
          <w:szCs w:val="24"/>
          <w:shd w:val="clear" w:fill="FFFFFF"/>
        </w:rPr>
        <w:t>, 2024(08).</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t>[3] 徐选华， 朱昱承， 陈晓红. 基于社交媒体数据的应急决策大群体群智知识挖掘及其价值测度方法研究. </w:t>
      </w:r>
      <w:r>
        <w:rPr>
          <w:rStyle w:val="8"/>
          <w:rFonts w:hint="eastAsia" w:ascii="宋体" w:hAnsi="宋体" w:eastAsia="宋体" w:cs="宋体"/>
          <w:i w:val="0"/>
          <w:iCs w:val="0"/>
          <w:caps w:val="0"/>
          <w:color w:val="0F1115"/>
          <w:spacing w:val="0"/>
          <w:sz w:val="24"/>
          <w:szCs w:val="24"/>
          <w:shd w:val="clear" w:fill="FFFFFF"/>
        </w:rPr>
        <w:t>管理工程学报</w:t>
      </w:r>
      <w:r>
        <w:rPr>
          <w:rFonts w:hint="eastAsia" w:ascii="宋体" w:hAnsi="宋体" w:eastAsia="宋体" w:cs="宋体"/>
          <w:i w:val="0"/>
          <w:iCs w:val="0"/>
          <w:caps w:val="0"/>
          <w:color w:val="0F1115"/>
          <w:spacing w:val="0"/>
          <w:sz w:val="24"/>
          <w:szCs w:val="24"/>
          <w:shd w:val="clear" w:fill="FFFFFF"/>
        </w:rPr>
        <w:t>, 2024, 38(1): 205-216.</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t>[4] “开盒挂人”致用户被网暴，社交平台因数据漏洞被判连带担责. </w:t>
      </w:r>
      <w:r>
        <w:rPr>
          <w:rStyle w:val="8"/>
          <w:rFonts w:hint="eastAsia" w:ascii="宋体" w:hAnsi="宋体" w:eastAsia="宋体" w:cs="宋体"/>
          <w:i w:val="0"/>
          <w:iCs w:val="0"/>
          <w:caps w:val="0"/>
          <w:color w:val="0F1115"/>
          <w:spacing w:val="0"/>
          <w:sz w:val="24"/>
          <w:szCs w:val="24"/>
          <w:shd w:val="clear" w:fill="FFFFFF"/>
        </w:rPr>
        <w:t>新京报</w:t>
      </w:r>
      <w:r>
        <w:rPr>
          <w:rFonts w:hint="eastAsia" w:ascii="宋体" w:hAnsi="宋体" w:eastAsia="宋体" w:cs="宋体"/>
          <w:i w:val="0"/>
          <w:iCs w:val="0"/>
          <w:caps w:val="0"/>
          <w:color w:val="0F1115"/>
          <w:spacing w:val="0"/>
          <w:sz w:val="24"/>
          <w:szCs w:val="24"/>
          <w:shd w:val="clear" w:fill="FFFFFF"/>
        </w:rPr>
        <w:t>, 2025-07-23.</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t>[5] The ‘Tugeges’ Test: How a Kenyan word exposed the fault lines in global content moderation. </w:t>
      </w:r>
      <w:r>
        <w:rPr>
          <w:rStyle w:val="8"/>
          <w:rFonts w:hint="eastAsia" w:ascii="宋体" w:hAnsi="宋体" w:eastAsia="宋体" w:cs="宋体"/>
          <w:i w:val="0"/>
          <w:iCs w:val="0"/>
          <w:caps w:val="0"/>
          <w:color w:val="0F1115"/>
          <w:spacing w:val="0"/>
          <w:sz w:val="24"/>
          <w:szCs w:val="24"/>
          <w:shd w:val="clear" w:fill="FFFFFF"/>
        </w:rPr>
        <w:t>UNESCO</w:t>
      </w:r>
      <w:r>
        <w:rPr>
          <w:rFonts w:hint="eastAsia" w:ascii="宋体" w:hAnsi="宋体" w:eastAsia="宋体" w:cs="宋体"/>
          <w:i w:val="0"/>
          <w:iCs w:val="0"/>
          <w:caps w:val="0"/>
          <w:color w:val="0F1115"/>
          <w:spacing w:val="0"/>
          <w:sz w:val="24"/>
          <w:szCs w:val="24"/>
          <w:shd w:val="clear" w:fill="FFFFFF"/>
        </w:rPr>
        <w:t>, 2025-12-27.</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t>[6] Yavuz, N., Karkin, N., &amp; Yildiz, M. Critical Success Factors for Government Crisis Communication over Social Media in Emergency Management. In </w:t>
      </w:r>
      <w:r>
        <w:rPr>
          <w:rStyle w:val="8"/>
          <w:rFonts w:hint="eastAsia" w:ascii="宋体" w:hAnsi="宋体" w:eastAsia="宋体" w:cs="宋体"/>
          <w:i w:val="0"/>
          <w:iCs w:val="0"/>
          <w:caps w:val="0"/>
          <w:color w:val="0F1115"/>
          <w:spacing w:val="0"/>
          <w:sz w:val="24"/>
          <w:szCs w:val="24"/>
          <w:shd w:val="clear" w:fill="FFFFFF"/>
        </w:rPr>
        <w:t>Routledge Handbook of Social Media in Emergency Management</w:t>
      </w:r>
      <w:r>
        <w:rPr>
          <w:rFonts w:hint="eastAsia" w:ascii="宋体" w:hAnsi="宋体" w:eastAsia="宋体" w:cs="宋体"/>
          <w:i w:val="0"/>
          <w:iCs w:val="0"/>
          <w:caps w:val="0"/>
          <w:color w:val="0F1115"/>
          <w:spacing w:val="0"/>
          <w:sz w:val="24"/>
          <w:szCs w:val="24"/>
          <w:shd w:val="clear" w:fill="FFFFFF"/>
        </w:rPr>
        <w:t> (预计2025出版).</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t>[7] Purohit, H., Buntain, C., Hughes, A. L., et al. Engage and Mobilize! Understanding Evolving Patterns of Social Media Usage in Emergency Management. </w:t>
      </w:r>
      <w:r>
        <w:rPr>
          <w:rStyle w:val="8"/>
          <w:rFonts w:hint="eastAsia" w:ascii="宋体" w:hAnsi="宋体" w:eastAsia="宋体" w:cs="宋体"/>
          <w:i w:val="0"/>
          <w:iCs w:val="0"/>
          <w:caps w:val="0"/>
          <w:color w:val="0F1115"/>
          <w:spacing w:val="0"/>
          <w:sz w:val="24"/>
          <w:szCs w:val="24"/>
          <w:shd w:val="clear" w:fill="FFFFFF"/>
        </w:rPr>
        <w:t>arXiv</w:t>
      </w:r>
      <w:r>
        <w:rPr>
          <w:rFonts w:hint="eastAsia" w:ascii="宋体" w:hAnsi="宋体" w:eastAsia="宋体" w:cs="宋体"/>
          <w:i w:val="0"/>
          <w:iCs w:val="0"/>
          <w:caps w:val="0"/>
          <w:color w:val="0F1115"/>
          <w:spacing w:val="0"/>
          <w:sz w:val="24"/>
          <w:szCs w:val="24"/>
          <w:shd w:val="clear" w:fill="FFFFFF"/>
        </w:rPr>
        <w:t>, 2025. (To appear at CSCW 2025)</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t>[8] 宫贺 等. 遭遇不确定性：社交媒介影响者危机问责的影响机制实验. </w:t>
      </w:r>
      <w:r>
        <w:rPr>
          <w:rStyle w:val="8"/>
          <w:rFonts w:hint="eastAsia" w:ascii="宋体" w:hAnsi="宋体" w:eastAsia="宋体" w:cs="宋体"/>
          <w:i w:val="0"/>
          <w:iCs w:val="0"/>
          <w:caps w:val="0"/>
          <w:color w:val="0F1115"/>
          <w:spacing w:val="0"/>
          <w:sz w:val="24"/>
          <w:szCs w:val="24"/>
          <w:shd w:val="clear" w:fill="FFFFFF"/>
        </w:rPr>
        <w:t>新闻与传播研究</w:t>
      </w:r>
      <w:r>
        <w:rPr>
          <w:rFonts w:hint="eastAsia" w:ascii="宋体" w:hAnsi="宋体" w:eastAsia="宋体" w:cs="宋体"/>
          <w:i w:val="0"/>
          <w:iCs w:val="0"/>
          <w:caps w:val="0"/>
          <w:color w:val="0F1115"/>
          <w:spacing w:val="0"/>
          <w:sz w:val="24"/>
          <w:szCs w:val="24"/>
          <w:shd w:val="clear" w:fill="FFFFFF"/>
        </w:rPr>
        <w:t>, 2024(12).</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t>[9] Multi-Stakeholder Disaster Insights from Social Media Using Large Language Models. </w:t>
      </w:r>
      <w:r>
        <w:rPr>
          <w:rStyle w:val="8"/>
          <w:rFonts w:hint="eastAsia" w:ascii="宋体" w:hAnsi="宋体" w:eastAsia="宋体" w:cs="宋体"/>
          <w:i w:val="0"/>
          <w:iCs w:val="0"/>
          <w:caps w:val="0"/>
          <w:color w:val="0F1115"/>
          <w:spacing w:val="0"/>
          <w:sz w:val="24"/>
          <w:szCs w:val="24"/>
          <w:shd w:val="clear" w:fill="FFFFFF"/>
        </w:rPr>
        <w:t>arXiv</w:t>
      </w:r>
      <w:r>
        <w:rPr>
          <w:rFonts w:hint="eastAsia" w:ascii="宋体" w:hAnsi="宋体" w:eastAsia="宋体" w:cs="宋体"/>
          <w:i w:val="0"/>
          <w:iCs w:val="0"/>
          <w:caps w:val="0"/>
          <w:color w:val="0F1115"/>
          <w:spacing w:val="0"/>
          <w:sz w:val="24"/>
          <w:szCs w:val="24"/>
          <w:shd w:val="clear" w:fill="FFFFFF"/>
        </w:rPr>
        <w:t>, 2025.</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t>[10] 破解“開盒挂人”背後的隱私困境. </w:t>
      </w:r>
      <w:r>
        <w:rPr>
          <w:rStyle w:val="8"/>
          <w:rFonts w:hint="eastAsia" w:ascii="宋体" w:hAnsi="宋体" w:eastAsia="宋体" w:cs="宋体"/>
          <w:i w:val="0"/>
          <w:iCs w:val="0"/>
          <w:caps w:val="0"/>
          <w:color w:val="0F1115"/>
          <w:spacing w:val="0"/>
          <w:sz w:val="24"/>
          <w:szCs w:val="24"/>
          <w:shd w:val="clear" w:fill="FFFFFF"/>
        </w:rPr>
        <w:t>中国网</w:t>
      </w:r>
      <w:r>
        <w:rPr>
          <w:rFonts w:hint="eastAsia" w:ascii="宋体" w:hAnsi="宋体" w:eastAsia="宋体" w:cs="宋体"/>
          <w:i w:val="0"/>
          <w:iCs w:val="0"/>
          <w:caps w:val="0"/>
          <w:color w:val="0F1115"/>
          <w:spacing w:val="0"/>
          <w:sz w:val="24"/>
          <w:szCs w:val="24"/>
          <w:shd w:val="clear" w:fill="FFFFFF"/>
        </w:rPr>
        <w:t>, 2025-03-24.</w:t>
      </w:r>
    </w:p>
    <w:p w14:paraId="7E4E7130"/>
    <w:p w14:paraId="65AE9D4F"/>
    <w:p w14:paraId="1F81D652"/>
    <w:p w14:paraId="6CB392B5"/>
    <w:p w14:paraId="40CCA7DA"/>
    <w:p w14:paraId="6ED53E50"/>
    <w:p w14:paraId="4F7019F4"/>
    <w:p w14:paraId="43683FF9"/>
    <w:p w14:paraId="357E2CB3"/>
    <w:p w14:paraId="5326BE05"/>
    <w:p w14:paraId="06D257D0"/>
    <w:p w14:paraId="43905DDD"/>
    <w:p w14:paraId="34C08CC8"/>
    <w:p w14:paraId="54788345"/>
    <w:p w14:paraId="2C280184"/>
    <w:p w14:paraId="561E679B"/>
    <w:p w14:paraId="0698FA27"/>
    <w:p w14:paraId="622B5DB8"/>
    <w:p w14:paraId="4C488A52"/>
    <w:p w14:paraId="07A174D7"/>
    <w:p w14:paraId="7D5B7BC6"/>
    <w:p w14:paraId="7317FD78">
      <w:pPr>
        <w:jc w:val="left"/>
      </w:pPr>
      <w:bookmarkStart w:id="0" w:name="_GoBack"/>
      <w:bookmarkEnd w:id="0"/>
      <w:r>
        <w:drawing>
          <wp:inline distT="0" distB="0" distL="114300" distR="114300">
            <wp:extent cx="6175375" cy="7916545"/>
            <wp:effectExtent l="0" t="0" r="12065" b="825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5"/>
                    <a:stretch>
                      <a:fillRect/>
                    </a:stretch>
                  </pic:blipFill>
                  <pic:spPr>
                    <a:xfrm>
                      <a:off x="0" y="0"/>
                      <a:ext cx="6175375" cy="791654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5B35F4"/>
    <w:rsid w:val="0077161D"/>
    <w:rsid w:val="00D40759"/>
    <w:rsid w:val="00F408C0"/>
    <w:rsid w:val="017A5ECC"/>
    <w:rsid w:val="01B83215"/>
    <w:rsid w:val="01E83313"/>
    <w:rsid w:val="02701944"/>
    <w:rsid w:val="027240EE"/>
    <w:rsid w:val="02B04F1E"/>
    <w:rsid w:val="02B54273"/>
    <w:rsid w:val="02DA3B3D"/>
    <w:rsid w:val="02DB6F3A"/>
    <w:rsid w:val="02FD399F"/>
    <w:rsid w:val="03097BFB"/>
    <w:rsid w:val="03151F53"/>
    <w:rsid w:val="03211ABE"/>
    <w:rsid w:val="03240964"/>
    <w:rsid w:val="03300374"/>
    <w:rsid w:val="03927459"/>
    <w:rsid w:val="03BA43F5"/>
    <w:rsid w:val="03D975FF"/>
    <w:rsid w:val="03DC49C7"/>
    <w:rsid w:val="03E77ED4"/>
    <w:rsid w:val="03F06ACD"/>
    <w:rsid w:val="04183646"/>
    <w:rsid w:val="0461563E"/>
    <w:rsid w:val="04781F1F"/>
    <w:rsid w:val="04AC6D8E"/>
    <w:rsid w:val="04B22BCB"/>
    <w:rsid w:val="04D1642F"/>
    <w:rsid w:val="050804C7"/>
    <w:rsid w:val="0547625A"/>
    <w:rsid w:val="05550810"/>
    <w:rsid w:val="055610C6"/>
    <w:rsid w:val="05690A3A"/>
    <w:rsid w:val="057243AD"/>
    <w:rsid w:val="057926B9"/>
    <w:rsid w:val="057C277C"/>
    <w:rsid w:val="05864E35"/>
    <w:rsid w:val="05B2526C"/>
    <w:rsid w:val="060679BB"/>
    <w:rsid w:val="061417B5"/>
    <w:rsid w:val="061B4E3F"/>
    <w:rsid w:val="063D384F"/>
    <w:rsid w:val="06641DD8"/>
    <w:rsid w:val="0666631D"/>
    <w:rsid w:val="06A83A48"/>
    <w:rsid w:val="06CE280C"/>
    <w:rsid w:val="06F22789"/>
    <w:rsid w:val="0714791D"/>
    <w:rsid w:val="07491F26"/>
    <w:rsid w:val="078A6F15"/>
    <w:rsid w:val="07B20BCF"/>
    <w:rsid w:val="07C61395"/>
    <w:rsid w:val="07EA668E"/>
    <w:rsid w:val="08514D08"/>
    <w:rsid w:val="08945EA8"/>
    <w:rsid w:val="08CB74B3"/>
    <w:rsid w:val="08E96661"/>
    <w:rsid w:val="091E36F2"/>
    <w:rsid w:val="093748A2"/>
    <w:rsid w:val="093925F0"/>
    <w:rsid w:val="09593528"/>
    <w:rsid w:val="09AC1BBF"/>
    <w:rsid w:val="09C76DDC"/>
    <w:rsid w:val="0A0139B7"/>
    <w:rsid w:val="0A0B5495"/>
    <w:rsid w:val="0A2A0C43"/>
    <w:rsid w:val="0A3979DC"/>
    <w:rsid w:val="0A4A07E8"/>
    <w:rsid w:val="0A4B4413"/>
    <w:rsid w:val="0A4C6688"/>
    <w:rsid w:val="0A8E6341"/>
    <w:rsid w:val="0ABB140F"/>
    <w:rsid w:val="0ADE7C28"/>
    <w:rsid w:val="0AE10C0C"/>
    <w:rsid w:val="0B220872"/>
    <w:rsid w:val="0B3A4113"/>
    <w:rsid w:val="0B800E71"/>
    <w:rsid w:val="0BC05F5A"/>
    <w:rsid w:val="0BFC3FC0"/>
    <w:rsid w:val="0C0943EC"/>
    <w:rsid w:val="0C0C6824"/>
    <w:rsid w:val="0C0D4D38"/>
    <w:rsid w:val="0C401548"/>
    <w:rsid w:val="0C721ED2"/>
    <w:rsid w:val="0C84346A"/>
    <w:rsid w:val="0C847128"/>
    <w:rsid w:val="0CA53B23"/>
    <w:rsid w:val="0CFC6200"/>
    <w:rsid w:val="0D01622C"/>
    <w:rsid w:val="0D0308C9"/>
    <w:rsid w:val="0D2008A3"/>
    <w:rsid w:val="0D2168A0"/>
    <w:rsid w:val="0D5D119E"/>
    <w:rsid w:val="0DE00713"/>
    <w:rsid w:val="0DFA22FC"/>
    <w:rsid w:val="0E370A67"/>
    <w:rsid w:val="0E7A58B3"/>
    <w:rsid w:val="0E8F5F33"/>
    <w:rsid w:val="0ED14B0D"/>
    <w:rsid w:val="0F164D4D"/>
    <w:rsid w:val="0F1E568F"/>
    <w:rsid w:val="0F333F45"/>
    <w:rsid w:val="0F513255"/>
    <w:rsid w:val="0F6D57FE"/>
    <w:rsid w:val="109D15EE"/>
    <w:rsid w:val="10FA7AD2"/>
    <w:rsid w:val="111C69A6"/>
    <w:rsid w:val="11287492"/>
    <w:rsid w:val="112C7B48"/>
    <w:rsid w:val="112D3895"/>
    <w:rsid w:val="113A27C8"/>
    <w:rsid w:val="115B4307"/>
    <w:rsid w:val="116C6A81"/>
    <w:rsid w:val="116F688C"/>
    <w:rsid w:val="11EB3526"/>
    <w:rsid w:val="11F62404"/>
    <w:rsid w:val="12076EBB"/>
    <w:rsid w:val="123541B0"/>
    <w:rsid w:val="12532728"/>
    <w:rsid w:val="128864C7"/>
    <w:rsid w:val="131B1D77"/>
    <w:rsid w:val="13423962"/>
    <w:rsid w:val="134D34F6"/>
    <w:rsid w:val="138D3109"/>
    <w:rsid w:val="13A83070"/>
    <w:rsid w:val="13E14EE2"/>
    <w:rsid w:val="13EF1B36"/>
    <w:rsid w:val="14191BBD"/>
    <w:rsid w:val="142A5B3C"/>
    <w:rsid w:val="143B3A23"/>
    <w:rsid w:val="14914572"/>
    <w:rsid w:val="14B55280"/>
    <w:rsid w:val="14CF018E"/>
    <w:rsid w:val="14DD4547"/>
    <w:rsid w:val="1532617D"/>
    <w:rsid w:val="158A49FD"/>
    <w:rsid w:val="15945506"/>
    <w:rsid w:val="15B32D29"/>
    <w:rsid w:val="15B9496D"/>
    <w:rsid w:val="15CB4BBA"/>
    <w:rsid w:val="15CD0AAF"/>
    <w:rsid w:val="15D8501F"/>
    <w:rsid w:val="162806D2"/>
    <w:rsid w:val="162B6264"/>
    <w:rsid w:val="1630615A"/>
    <w:rsid w:val="163A6FC8"/>
    <w:rsid w:val="16805C05"/>
    <w:rsid w:val="1694758E"/>
    <w:rsid w:val="16C234E8"/>
    <w:rsid w:val="16CF2D0D"/>
    <w:rsid w:val="17054158"/>
    <w:rsid w:val="17181193"/>
    <w:rsid w:val="176434B4"/>
    <w:rsid w:val="17954DB7"/>
    <w:rsid w:val="179A6A8D"/>
    <w:rsid w:val="17A513C8"/>
    <w:rsid w:val="17AF6121"/>
    <w:rsid w:val="17F24927"/>
    <w:rsid w:val="180E309F"/>
    <w:rsid w:val="182669AB"/>
    <w:rsid w:val="182F2D0D"/>
    <w:rsid w:val="184436D5"/>
    <w:rsid w:val="18D71CD4"/>
    <w:rsid w:val="18D975ED"/>
    <w:rsid w:val="190E50FC"/>
    <w:rsid w:val="195B7EED"/>
    <w:rsid w:val="19D7625D"/>
    <w:rsid w:val="19F331DE"/>
    <w:rsid w:val="1A0D79D4"/>
    <w:rsid w:val="1A2469CC"/>
    <w:rsid w:val="1A625A57"/>
    <w:rsid w:val="1A987D53"/>
    <w:rsid w:val="1AB91166"/>
    <w:rsid w:val="1ADB67F0"/>
    <w:rsid w:val="1B023ADC"/>
    <w:rsid w:val="1B093B0B"/>
    <w:rsid w:val="1B500FE4"/>
    <w:rsid w:val="1B5701DD"/>
    <w:rsid w:val="1B6C2FAD"/>
    <w:rsid w:val="1B7D7F5A"/>
    <w:rsid w:val="1BD1089D"/>
    <w:rsid w:val="1CBF6038"/>
    <w:rsid w:val="1CCB1655"/>
    <w:rsid w:val="1CE858AE"/>
    <w:rsid w:val="1CEF0C77"/>
    <w:rsid w:val="1D06642B"/>
    <w:rsid w:val="1D3C24C9"/>
    <w:rsid w:val="1D5466DD"/>
    <w:rsid w:val="1D697CCE"/>
    <w:rsid w:val="1DA67607"/>
    <w:rsid w:val="1E8D6EF1"/>
    <w:rsid w:val="1EBA6298"/>
    <w:rsid w:val="1ED51311"/>
    <w:rsid w:val="1FD44515"/>
    <w:rsid w:val="1FDE5D8C"/>
    <w:rsid w:val="1FF51683"/>
    <w:rsid w:val="200D4322"/>
    <w:rsid w:val="203F0C71"/>
    <w:rsid w:val="206F02F2"/>
    <w:rsid w:val="207416B7"/>
    <w:rsid w:val="20A22DE7"/>
    <w:rsid w:val="20A63756"/>
    <w:rsid w:val="20B57008"/>
    <w:rsid w:val="212C4A99"/>
    <w:rsid w:val="215659C1"/>
    <w:rsid w:val="21773CA0"/>
    <w:rsid w:val="21CC6397"/>
    <w:rsid w:val="21E6456F"/>
    <w:rsid w:val="21E973CB"/>
    <w:rsid w:val="220E3319"/>
    <w:rsid w:val="2222568B"/>
    <w:rsid w:val="222C242F"/>
    <w:rsid w:val="226141BE"/>
    <w:rsid w:val="22774617"/>
    <w:rsid w:val="228C09C5"/>
    <w:rsid w:val="228E073A"/>
    <w:rsid w:val="22A1261F"/>
    <w:rsid w:val="22B67187"/>
    <w:rsid w:val="22BE12B1"/>
    <w:rsid w:val="22C80B30"/>
    <w:rsid w:val="22DC62EA"/>
    <w:rsid w:val="22E2579A"/>
    <w:rsid w:val="22F55F13"/>
    <w:rsid w:val="22F56A08"/>
    <w:rsid w:val="23204F68"/>
    <w:rsid w:val="236D0ED0"/>
    <w:rsid w:val="23AE16E4"/>
    <w:rsid w:val="23C61DD8"/>
    <w:rsid w:val="23E3416F"/>
    <w:rsid w:val="24227FE7"/>
    <w:rsid w:val="24B643B3"/>
    <w:rsid w:val="24CC4037"/>
    <w:rsid w:val="24D21A4C"/>
    <w:rsid w:val="24E3147D"/>
    <w:rsid w:val="24F52D3B"/>
    <w:rsid w:val="25526C16"/>
    <w:rsid w:val="257658FD"/>
    <w:rsid w:val="2579257F"/>
    <w:rsid w:val="25954EAF"/>
    <w:rsid w:val="259567A6"/>
    <w:rsid w:val="25A51106"/>
    <w:rsid w:val="25A6423B"/>
    <w:rsid w:val="25C35973"/>
    <w:rsid w:val="25FE54B8"/>
    <w:rsid w:val="262324CD"/>
    <w:rsid w:val="26237CB0"/>
    <w:rsid w:val="266E3C91"/>
    <w:rsid w:val="26900CFB"/>
    <w:rsid w:val="271A6C3A"/>
    <w:rsid w:val="278A72B2"/>
    <w:rsid w:val="284176A5"/>
    <w:rsid w:val="286214EE"/>
    <w:rsid w:val="28CA7864"/>
    <w:rsid w:val="28CF2049"/>
    <w:rsid w:val="28D44AE5"/>
    <w:rsid w:val="2944569D"/>
    <w:rsid w:val="29855A94"/>
    <w:rsid w:val="2A413BE1"/>
    <w:rsid w:val="2A4C7DB2"/>
    <w:rsid w:val="2A594C37"/>
    <w:rsid w:val="2A8F1D55"/>
    <w:rsid w:val="2A9B4C23"/>
    <w:rsid w:val="2A9D3B12"/>
    <w:rsid w:val="2B10580C"/>
    <w:rsid w:val="2BB457EC"/>
    <w:rsid w:val="2C012A40"/>
    <w:rsid w:val="2C1964F2"/>
    <w:rsid w:val="2C37521C"/>
    <w:rsid w:val="2C9E580F"/>
    <w:rsid w:val="2CB5171C"/>
    <w:rsid w:val="2D0F6B31"/>
    <w:rsid w:val="2D1129C4"/>
    <w:rsid w:val="2D6A53CA"/>
    <w:rsid w:val="2DC81162"/>
    <w:rsid w:val="2DCA75BF"/>
    <w:rsid w:val="2DD61758"/>
    <w:rsid w:val="2DD7321A"/>
    <w:rsid w:val="2DEE2272"/>
    <w:rsid w:val="2E01571E"/>
    <w:rsid w:val="2E157AA5"/>
    <w:rsid w:val="2E1D0BFB"/>
    <w:rsid w:val="2E1F7BA9"/>
    <w:rsid w:val="2E26257D"/>
    <w:rsid w:val="2E37558B"/>
    <w:rsid w:val="2E414E47"/>
    <w:rsid w:val="2E452FEB"/>
    <w:rsid w:val="2EAD1222"/>
    <w:rsid w:val="2EBB67B2"/>
    <w:rsid w:val="2EE20597"/>
    <w:rsid w:val="2F082C9F"/>
    <w:rsid w:val="2F182D8D"/>
    <w:rsid w:val="2F1A38BD"/>
    <w:rsid w:val="2F443842"/>
    <w:rsid w:val="2F487110"/>
    <w:rsid w:val="2F6F444D"/>
    <w:rsid w:val="2F8E58B7"/>
    <w:rsid w:val="2FB20CA6"/>
    <w:rsid w:val="2FD52D0C"/>
    <w:rsid w:val="2FDF72EE"/>
    <w:rsid w:val="302A0417"/>
    <w:rsid w:val="30491C48"/>
    <w:rsid w:val="30642792"/>
    <w:rsid w:val="30796157"/>
    <w:rsid w:val="307D0288"/>
    <w:rsid w:val="30821D54"/>
    <w:rsid w:val="31347564"/>
    <w:rsid w:val="319D6855"/>
    <w:rsid w:val="31BD749C"/>
    <w:rsid w:val="31C07AA9"/>
    <w:rsid w:val="31CA7D66"/>
    <w:rsid w:val="31DC6E44"/>
    <w:rsid w:val="31DE70CD"/>
    <w:rsid w:val="31EE3DB5"/>
    <w:rsid w:val="31FB3107"/>
    <w:rsid w:val="323E55C9"/>
    <w:rsid w:val="32471192"/>
    <w:rsid w:val="324B34A1"/>
    <w:rsid w:val="32782B20"/>
    <w:rsid w:val="327F60EB"/>
    <w:rsid w:val="329D58DA"/>
    <w:rsid w:val="331E2BAE"/>
    <w:rsid w:val="333219BA"/>
    <w:rsid w:val="33423694"/>
    <w:rsid w:val="33500286"/>
    <w:rsid w:val="33500D86"/>
    <w:rsid w:val="33753BE5"/>
    <w:rsid w:val="33901D3B"/>
    <w:rsid w:val="33991F2E"/>
    <w:rsid w:val="33F06BE1"/>
    <w:rsid w:val="34183DCC"/>
    <w:rsid w:val="344E69C3"/>
    <w:rsid w:val="34776A42"/>
    <w:rsid w:val="34802795"/>
    <w:rsid w:val="34C717B5"/>
    <w:rsid w:val="34D63ABD"/>
    <w:rsid w:val="34DE188B"/>
    <w:rsid w:val="34FD66E6"/>
    <w:rsid w:val="350D127D"/>
    <w:rsid w:val="353D3B58"/>
    <w:rsid w:val="3542665F"/>
    <w:rsid w:val="357E6FD1"/>
    <w:rsid w:val="35E05627"/>
    <w:rsid w:val="35F7107F"/>
    <w:rsid w:val="3631602B"/>
    <w:rsid w:val="36795EFA"/>
    <w:rsid w:val="367C3A5D"/>
    <w:rsid w:val="36ED79DC"/>
    <w:rsid w:val="37762234"/>
    <w:rsid w:val="37875B7E"/>
    <w:rsid w:val="37B55834"/>
    <w:rsid w:val="37F660D3"/>
    <w:rsid w:val="384817A6"/>
    <w:rsid w:val="385C0997"/>
    <w:rsid w:val="38725357"/>
    <w:rsid w:val="38782B02"/>
    <w:rsid w:val="38A00075"/>
    <w:rsid w:val="38B51623"/>
    <w:rsid w:val="38D35560"/>
    <w:rsid w:val="38D55A35"/>
    <w:rsid w:val="38F368AA"/>
    <w:rsid w:val="39397B75"/>
    <w:rsid w:val="39546ACF"/>
    <w:rsid w:val="397D0D8C"/>
    <w:rsid w:val="39937728"/>
    <w:rsid w:val="39BC4B97"/>
    <w:rsid w:val="3A0A1607"/>
    <w:rsid w:val="3A3174EC"/>
    <w:rsid w:val="3A3D641D"/>
    <w:rsid w:val="3AA87560"/>
    <w:rsid w:val="3AAE0469"/>
    <w:rsid w:val="3AB21C40"/>
    <w:rsid w:val="3ABB7E00"/>
    <w:rsid w:val="3B0451AF"/>
    <w:rsid w:val="3B2625B9"/>
    <w:rsid w:val="3B47401E"/>
    <w:rsid w:val="3B5B6725"/>
    <w:rsid w:val="3BC40B75"/>
    <w:rsid w:val="3BFE425B"/>
    <w:rsid w:val="3C59416C"/>
    <w:rsid w:val="3C630F60"/>
    <w:rsid w:val="3D0F410D"/>
    <w:rsid w:val="3D395327"/>
    <w:rsid w:val="3D47259F"/>
    <w:rsid w:val="3D4772F9"/>
    <w:rsid w:val="3D642DD1"/>
    <w:rsid w:val="3D79646C"/>
    <w:rsid w:val="3DB0393C"/>
    <w:rsid w:val="3DC869AF"/>
    <w:rsid w:val="3DE52537"/>
    <w:rsid w:val="3E267F07"/>
    <w:rsid w:val="3E5A0DDF"/>
    <w:rsid w:val="3EAD3996"/>
    <w:rsid w:val="3EB5115D"/>
    <w:rsid w:val="3EC5528C"/>
    <w:rsid w:val="3F034996"/>
    <w:rsid w:val="3F436D38"/>
    <w:rsid w:val="3F8876A3"/>
    <w:rsid w:val="3F937F45"/>
    <w:rsid w:val="3F990660"/>
    <w:rsid w:val="3F9A1678"/>
    <w:rsid w:val="3F9D3553"/>
    <w:rsid w:val="3FB72602"/>
    <w:rsid w:val="3FB732FC"/>
    <w:rsid w:val="3FBA1614"/>
    <w:rsid w:val="3FC4377B"/>
    <w:rsid w:val="400A1EDA"/>
    <w:rsid w:val="4013649A"/>
    <w:rsid w:val="40294A00"/>
    <w:rsid w:val="40524BAE"/>
    <w:rsid w:val="405819E7"/>
    <w:rsid w:val="405B69B6"/>
    <w:rsid w:val="406523E2"/>
    <w:rsid w:val="40C96B54"/>
    <w:rsid w:val="40F6607C"/>
    <w:rsid w:val="40FD2AE4"/>
    <w:rsid w:val="411B36E0"/>
    <w:rsid w:val="411E53E2"/>
    <w:rsid w:val="41215956"/>
    <w:rsid w:val="412C3444"/>
    <w:rsid w:val="415743A5"/>
    <w:rsid w:val="416910A4"/>
    <w:rsid w:val="41831AA2"/>
    <w:rsid w:val="41F05B7B"/>
    <w:rsid w:val="420F62BE"/>
    <w:rsid w:val="42797D6C"/>
    <w:rsid w:val="42875A31"/>
    <w:rsid w:val="428C185F"/>
    <w:rsid w:val="42AE3D80"/>
    <w:rsid w:val="42CC3210"/>
    <w:rsid w:val="42E23C0C"/>
    <w:rsid w:val="4353770A"/>
    <w:rsid w:val="435B2861"/>
    <w:rsid w:val="437F384E"/>
    <w:rsid w:val="439A302F"/>
    <w:rsid w:val="43AD11A7"/>
    <w:rsid w:val="43D12517"/>
    <w:rsid w:val="44413CEB"/>
    <w:rsid w:val="444651C5"/>
    <w:rsid w:val="4482192A"/>
    <w:rsid w:val="44B0710B"/>
    <w:rsid w:val="44B66B42"/>
    <w:rsid w:val="44BD3264"/>
    <w:rsid w:val="44DE4057"/>
    <w:rsid w:val="450E0D47"/>
    <w:rsid w:val="452C779B"/>
    <w:rsid w:val="45485CA3"/>
    <w:rsid w:val="45681FAC"/>
    <w:rsid w:val="45A76A75"/>
    <w:rsid w:val="45B375E6"/>
    <w:rsid w:val="45B744DA"/>
    <w:rsid w:val="45E47B4D"/>
    <w:rsid w:val="46126E0E"/>
    <w:rsid w:val="462F5DB9"/>
    <w:rsid w:val="468269E7"/>
    <w:rsid w:val="46A47538"/>
    <w:rsid w:val="46B278C3"/>
    <w:rsid w:val="46BA75DE"/>
    <w:rsid w:val="46F13374"/>
    <w:rsid w:val="472A35B8"/>
    <w:rsid w:val="47C63335"/>
    <w:rsid w:val="47F22887"/>
    <w:rsid w:val="480732E2"/>
    <w:rsid w:val="483D4503"/>
    <w:rsid w:val="48673F42"/>
    <w:rsid w:val="487F6053"/>
    <w:rsid w:val="48925891"/>
    <w:rsid w:val="489E1AE7"/>
    <w:rsid w:val="48CD2ED3"/>
    <w:rsid w:val="491B4B24"/>
    <w:rsid w:val="496333D1"/>
    <w:rsid w:val="49737727"/>
    <w:rsid w:val="49A25002"/>
    <w:rsid w:val="4A162BBA"/>
    <w:rsid w:val="4A2531CC"/>
    <w:rsid w:val="4A4539C8"/>
    <w:rsid w:val="4AAB517D"/>
    <w:rsid w:val="4AC052EF"/>
    <w:rsid w:val="4AC705E4"/>
    <w:rsid w:val="4AFB1400"/>
    <w:rsid w:val="4B091402"/>
    <w:rsid w:val="4B0E52B7"/>
    <w:rsid w:val="4B2C0D63"/>
    <w:rsid w:val="4B515263"/>
    <w:rsid w:val="4B64259B"/>
    <w:rsid w:val="4B6C6EB4"/>
    <w:rsid w:val="4BA40A7C"/>
    <w:rsid w:val="4BC23B5C"/>
    <w:rsid w:val="4BC64208"/>
    <w:rsid w:val="4BCE6FAC"/>
    <w:rsid w:val="4BD64B4C"/>
    <w:rsid w:val="4BED6788"/>
    <w:rsid w:val="4C0F4312"/>
    <w:rsid w:val="4C62015B"/>
    <w:rsid w:val="4C7A01FE"/>
    <w:rsid w:val="4C7A1D52"/>
    <w:rsid w:val="4C920B18"/>
    <w:rsid w:val="4CA236A4"/>
    <w:rsid w:val="4CF33589"/>
    <w:rsid w:val="4D063225"/>
    <w:rsid w:val="4D2E35F6"/>
    <w:rsid w:val="4DA739FA"/>
    <w:rsid w:val="4DA87464"/>
    <w:rsid w:val="4DA96B63"/>
    <w:rsid w:val="4DC02FE6"/>
    <w:rsid w:val="4DD10298"/>
    <w:rsid w:val="4E0F5B8B"/>
    <w:rsid w:val="4E1564A1"/>
    <w:rsid w:val="4E1A416A"/>
    <w:rsid w:val="4E324D9D"/>
    <w:rsid w:val="4E423083"/>
    <w:rsid w:val="4E4C75E3"/>
    <w:rsid w:val="4E7433DC"/>
    <w:rsid w:val="4E7D2000"/>
    <w:rsid w:val="4EA05C8B"/>
    <w:rsid w:val="4EE1661B"/>
    <w:rsid w:val="4EE73FC5"/>
    <w:rsid w:val="4EEF723D"/>
    <w:rsid w:val="4EF804FE"/>
    <w:rsid w:val="4F057D89"/>
    <w:rsid w:val="4F2866BE"/>
    <w:rsid w:val="4F2F0BAE"/>
    <w:rsid w:val="4F612B0A"/>
    <w:rsid w:val="4F7E70CF"/>
    <w:rsid w:val="4F9A4865"/>
    <w:rsid w:val="4FCB25C5"/>
    <w:rsid w:val="4FDF7736"/>
    <w:rsid w:val="4FE56633"/>
    <w:rsid w:val="50204C15"/>
    <w:rsid w:val="505770B2"/>
    <w:rsid w:val="508D3A17"/>
    <w:rsid w:val="50BF05BF"/>
    <w:rsid w:val="513702A1"/>
    <w:rsid w:val="51B12A09"/>
    <w:rsid w:val="51B43B94"/>
    <w:rsid w:val="51B72FE6"/>
    <w:rsid w:val="51DC1233"/>
    <w:rsid w:val="52017A74"/>
    <w:rsid w:val="520435D4"/>
    <w:rsid w:val="52162921"/>
    <w:rsid w:val="521B1E57"/>
    <w:rsid w:val="52D91AE1"/>
    <w:rsid w:val="52EE164A"/>
    <w:rsid w:val="53703D5C"/>
    <w:rsid w:val="53752DD1"/>
    <w:rsid w:val="53892EA1"/>
    <w:rsid w:val="53C933B5"/>
    <w:rsid w:val="53D34F69"/>
    <w:rsid w:val="54B16C20"/>
    <w:rsid w:val="558D2D12"/>
    <w:rsid w:val="55C929BA"/>
    <w:rsid w:val="56206E5C"/>
    <w:rsid w:val="563B4204"/>
    <w:rsid w:val="565840D9"/>
    <w:rsid w:val="5659322C"/>
    <w:rsid w:val="56797DE2"/>
    <w:rsid w:val="56A818BE"/>
    <w:rsid w:val="56B812DF"/>
    <w:rsid w:val="56D63CFB"/>
    <w:rsid w:val="56E80789"/>
    <w:rsid w:val="56F96D30"/>
    <w:rsid w:val="57365948"/>
    <w:rsid w:val="57587F87"/>
    <w:rsid w:val="57606C8B"/>
    <w:rsid w:val="57625A3F"/>
    <w:rsid w:val="57CA245E"/>
    <w:rsid w:val="57D92860"/>
    <w:rsid w:val="57E1336A"/>
    <w:rsid w:val="57EF37A8"/>
    <w:rsid w:val="5822117A"/>
    <w:rsid w:val="5837194F"/>
    <w:rsid w:val="586D07FC"/>
    <w:rsid w:val="588E22DD"/>
    <w:rsid w:val="58950AF6"/>
    <w:rsid w:val="58965930"/>
    <w:rsid w:val="58FD1DFF"/>
    <w:rsid w:val="592D1885"/>
    <w:rsid w:val="593364C4"/>
    <w:rsid w:val="594E1B6D"/>
    <w:rsid w:val="59567B13"/>
    <w:rsid w:val="59603DD7"/>
    <w:rsid w:val="59856C4A"/>
    <w:rsid w:val="59961802"/>
    <w:rsid w:val="599B37EF"/>
    <w:rsid w:val="59C04D56"/>
    <w:rsid w:val="59EA08D9"/>
    <w:rsid w:val="5A3D178E"/>
    <w:rsid w:val="5A6F3818"/>
    <w:rsid w:val="5A780983"/>
    <w:rsid w:val="5AA80230"/>
    <w:rsid w:val="5AAE0664"/>
    <w:rsid w:val="5AE67036"/>
    <w:rsid w:val="5B0C379A"/>
    <w:rsid w:val="5B7332DB"/>
    <w:rsid w:val="5BD26A10"/>
    <w:rsid w:val="5BDB048C"/>
    <w:rsid w:val="5BDF636A"/>
    <w:rsid w:val="5BE10978"/>
    <w:rsid w:val="5BE12024"/>
    <w:rsid w:val="5BF56CB9"/>
    <w:rsid w:val="5BFC7A94"/>
    <w:rsid w:val="5C2364B8"/>
    <w:rsid w:val="5C4D301C"/>
    <w:rsid w:val="5C655F73"/>
    <w:rsid w:val="5C6F7658"/>
    <w:rsid w:val="5CA81EF5"/>
    <w:rsid w:val="5CDA5642"/>
    <w:rsid w:val="5CE74C11"/>
    <w:rsid w:val="5D1822EE"/>
    <w:rsid w:val="5D3D164C"/>
    <w:rsid w:val="5D3F11BE"/>
    <w:rsid w:val="5D9F3646"/>
    <w:rsid w:val="5DA06E03"/>
    <w:rsid w:val="5DB63D14"/>
    <w:rsid w:val="5DBA2BF4"/>
    <w:rsid w:val="5DBF561F"/>
    <w:rsid w:val="5E220830"/>
    <w:rsid w:val="5ECE56D2"/>
    <w:rsid w:val="5ED3116B"/>
    <w:rsid w:val="5F683814"/>
    <w:rsid w:val="5F7433F3"/>
    <w:rsid w:val="5F7F741A"/>
    <w:rsid w:val="5F9263BA"/>
    <w:rsid w:val="5FAB5496"/>
    <w:rsid w:val="5FDA4180"/>
    <w:rsid w:val="5FE83C77"/>
    <w:rsid w:val="602E6BB2"/>
    <w:rsid w:val="60725AC7"/>
    <w:rsid w:val="608128ED"/>
    <w:rsid w:val="60A8689A"/>
    <w:rsid w:val="60CE1630"/>
    <w:rsid w:val="61244D7E"/>
    <w:rsid w:val="612D3C7B"/>
    <w:rsid w:val="617D2699"/>
    <w:rsid w:val="61AF6209"/>
    <w:rsid w:val="61D36A8F"/>
    <w:rsid w:val="62011913"/>
    <w:rsid w:val="622B29FC"/>
    <w:rsid w:val="623C110E"/>
    <w:rsid w:val="6271541F"/>
    <w:rsid w:val="627426CC"/>
    <w:rsid w:val="628A19B9"/>
    <w:rsid w:val="62A01CFE"/>
    <w:rsid w:val="62B020BE"/>
    <w:rsid w:val="62D722AA"/>
    <w:rsid w:val="63171F68"/>
    <w:rsid w:val="63220AB6"/>
    <w:rsid w:val="6339397A"/>
    <w:rsid w:val="633C638E"/>
    <w:rsid w:val="634170CD"/>
    <w:rsid w:val="637864F6"/>
    <w:rsid w:val="639805A5"/>
    <w:rsid w:val="63B31FE5"/>
    <w:rsid w:val="63BE188E"/>
    <w:rsid w:val="63C56970"/>
    <w:rsid w:val="63FE66EC"/>
    <w:rsid w:val="646167D8"/>
    <w:rsid w:val="649253A1"/>
    <w:rsid w:val="64984935"/>
    <w:rsid w:val="64B566F2"/>
    <w:rsid w:val="650F0220"/>
    <w:rsid w:val="65877E71"/>
    <w:rsid w:val="65AD3B35"/>
    <w:rsid w:val="65CD4262"/>
    <w:rsid w:val="65CF2A0D"/>
    <w:rsid w:val="660D1AA1"/>
    <w:rsid w:val="66274A7B"/>
    <w:rsid w:val="664F0177"/>
    <w:rsid w:val="669955EC"/>
    <w:rsid w:val="66CF42EA"/>
    <w:rsid w:val="6705429C"/>
    <w:rsid w:val="672366A5"/>
    <w:rsid w:val="673454DE"/>
    <w:rsid w:val="67952030"/>
    <w:rsid w:val="67E05094"/>
    <w:rsid w:val="67F4773A"/>
    <w:rsid w:val="681A37E9"/>
    <w:rsid w:val="686439EC"/>
    <w:rsid w:val="6877312C"/>
    <w:rsid w:val="688312CE"/>
    <w:rsid w:val="68BA19F8"/>
    <w:rsid w:val="68BC14C3"/>
    <w:rsid w:val="690E3F85"/>
    <w:rsid w:val="694410C6"/>
    <w:rsid w:val="697B225C"/>
    <w:rsid w:val="69CA5027"/>
    <w:rsid w:val="69FD1662"/>
    <w:rsid w:val="6A0225B2"/>
    <w:rsid w:val="6A3C5BFD"/>
    <w:rsid w:val="6A6152D5"/>
    <w:rsid w:val="6A7061CF"/>
    <w:rsid w:val="6A746F48"/>
    <w:rsid w:val="6A930F9D"/>
    <w:rsid w:val="6AAD1B3C"/>
    <w:rsid w:val="6B166CDE"/>
    <w:rsid w:val="6B403AF7"/>
    <w:rsid w:val="6B435804"/>
    <w:rsid w:val="6B927388"/>
    <w:rsid w:val="6B940FF4"/>
    <w:rsid w:val="6BA80CB8"/>
    <w:rsid w:val="6BB97150"/>
    <w:rsid w:val="6BDF0DB6"/>
    <w:rsid w:val="6C147353"/>
    <w:rsid w:val="6C253B0C"/>
    <w:rsid w:val="6C46285F"/>
    <w:rsid w:val="6C86143B"/>
    <w:rsid w:val="6CA9329F"/>
    <w:rsid w:val="6CBD7814"/>
    <w:rsid w:val="6CF210A6"/>
    <w:rsid w:val="6CF51141"/>
    <w:rsid w:val="6D0074E3"/>
    <w:rsid w:val="6D343A30"/>
    <w:rsid w:val="6DDD728B"/>
    <w:rsid w:val="6DEC7D07"/>
    <w:rsid w:val="6DF06DD7"/>
    <w:rsid w:val="6E236258"/>
    <w:rsid w:val="6E596897"/>
    <w:rsid w:val="6E6D232F"/>
    <w:rsid w:val="6E96764A"/>
    <w:rsid w:val="6E9764DD"/>
    <w:rsid w:val="6E9F428B"/>
    <w:rsid w:val="6EBD47D2"/>
    <w:rsid w:val="6EC25D6B"/>
    <w:rsid w:val="6F496536"/>
    <w:rsid w:val="6FAF0345"/>
    <w:rsid w:val="6FF95ED8"/>
    <w:rsid w:val="700F55B1"/>
    <w:rsid w:val="70173309"/>
    <w:rsid w:val="702700D5"/>
    <w:rsid w:val="702F7F3F"/>
    <w:rsid w:val="7040567D"/>
    <w:rsid w:val="70596181"/>
    <w:rsid w:val="707F2A7C"/>
    <w:rsid w:val="709D5932"/>
    <w:rsid w:val="70A611FD"/>
    <w:rsid w:val="70BB3737"/>
    <w:rsid w:val="70D93657"/>
    <w:rsid w:val="7117602A"/>
    <w:rsid w:val="71205C8E"/>
    <w:rsid w:val="71837069"/>
    <w:rsid w:val="71886C91"/>
    <w:rsid w:val="719115BC"/>
    <w:rsid w:val="71917586"/>
    <w:rsid w:val="71C039C2"/>
    <w:rsid w:val="71DA61C7"/>
    <w:rsid w:val="725B35F4"/>
    <w:rsid w:val="7272193A"/>
    <w:rsid w:val="72BF57B8"/>
    <w:rsid w:val="730C63AE"/>
    <w:rsid w:val="73375123"/>
    <w:rsid w:val="73452CB6"/>
    <w:rsid w:val="73A7327C"/>
    <w:rsid w:val="73A73B45"/>
    <w:rsid w:val="73E84BF5"/>
    <w:rsid w:val="73EE3CE3"/>
    <w:rsid w:val="741E2EDB"/>
    <w:rsid w:val="7463055A"/>
    <w:rsid w:val="746D5BA1"/>
    <w:rsid w:val="749931EB"/>
    <w:rsid w:val="74CC6DE2"/>
    <w:rsid w:val="74D465C0"/>
    <w:rsid w:val="74F76505"/>
    <w:rsid w:val="75852A9A"/>
    <w:rsid w:val="75992F1A"/>
    <w:rsid w:val="75B77870"/>
    <w:rsid w:val="75F90E62"/>
    <w:rsid w:val="75FB52C0"/>
    <w:rsid w:val="76B03BBC"/>
    <w:rsid w:val="771320CA"/>
    <w:rsid w:val="77330AA0"/>
    <w:rsid w:val="773A2B71"/>
    <w:rsid w:val="7752328F"/>
    <w:rsid w:val="778140BE"/>
    <w:rsid w:val="77975DE6"/>
    <w:rsid w:val="779B6429"/>
    <w:rsid w:val="779F4E6A"/>
    <w:rsid w:val="77B04AB2"/>
    <w:rsid w:val="77BE4BFC"/>
    <w:rsid w:val="77FF61C9"/>
    <w:rsid w:val="78006D9D"/>
    <w:rsid w:val="780E38D7"/>
    <w:rsid w:val="782555FC"/>
    <w:rsid w:val="783A62A5"/>
    <w:rsid w:val="78600E42"/>
    <w:rsid w:val="786379B3"/>
    <w:rsid w:val="78D56551"/>
    <w:rsid w:val="78EB3286"/>
    <w:rsid w:val="79512ABE"/>
    <w:rsid w:val="79815E62"/>
    <w:rsid w:val="79996BED"/>
    <w:rsid w:val="79D748D7"/>
    <w:rsid w:val="7A162408"/>
    <w:rsid w:val="7A56546E"/>
    <w:rsid w:val="7AEC6A2C"/>
    <w:rsid w:val="7B0A4DE4"/>
    <w:rsid w:val="7B225ED0"/>
    <w:rsid w:val="7B3C3C92"/>
    <w:rsid w:val="7B4E1372"/>
    <w:rsid w:val="7B7177A2"/>
    <w:rsid w:val="7BA31874"/>
    <w:rsid w:val="7BBB4342"/>
    <w:rsid w:val="7C151E55"/>
    <w:rsid w:val="7C3542EB"/>
    <w:rsid w:val="7C8E6B80"/>
    <w:rsid w:val="7C942D51"/>
    <w:rsid w:val="7CC96591"/>
    <w:rsid w:val="7CF61E83"/>
    <w:rsid w:val="7DC765C9"/>
    <w:rsid w:val="7E1221A9"/>
    <w:rsid w:val="7E6B54E8"/>
    <w:rsid w:val="7E8429A8"/>
    <w:rsid w:val="7E8766A1"/>
    <w:rsid w:val="7EAD02B8"/>
    <w:rsid w:val="7ED46789"/>
    <w:rsid w:val="7EF558F0"/>
    <w:rsid w:val="7F0B16A9"/>
    <w:rsid w:val="7F1B558F"/>
    <w:rsid w:val="7F2A7FB0"/>
    <w:rsid w:val="7F5D389C"/>
    <w:rsid w:val="7F683742"/>
    <w:rsid w:val="7F991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5766</Words>
  <Characters>6489</Characters>
  <Lines>0</Lines>
  <Paragraphs>0</Paragraphs>
  <TotalTime>0</TotalTime>
  <ScaleCrop>false</ScaleCrop>
  <LinksUpToDate>false</LinksUpToDate>
  <CharactersWithSpaces>6786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2025-06-04T14:08:00Z</dcterms:created>
  <dc:creator>陈灿君</dc:creator>
  <cp:lastModifiedBy>白首</cp:lastModifiedBy>
  <dcterms:modified xsi:type="dcterms:W3CDTF">2025-12-29T15:11:20Z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0F2BE50C29F946F79BF83E98741EB0A5_11</vt:lpwstr>
  </property>
  <property fmtid="{D5CDD505-2E9C-101B-9397-08002B2CF9AE}" pid="4" name="KSOTemplateDocerSaveRecord">
    <vt:lpwstr>eyJoZGlkIjoiOWQyZWI3MTg5ZGFhZjcxYWZlOTAzZjI5ZmUwY2E4MzAiLCJ1c2VySWQiOiIzOTI4NzE2NTkifQ==</vt:lpwstr>
  </property>
</Properties>
</file>