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pPr>
        <w:wordWrap w:val="0"/>
        <w:ind w:firstLine="1988" w:firstLineChars="450"/>
        <w:jc w:val="center"/>
        <w:rPr>
          <w:rFonts w:eastAsia="黑体"/>
          <w:b/>
          <w:bCs/>
          <w:sz w:val="44"/>
          <w:szCs w:val="44"/>
        </w:rPr>
      </w:pPr>
    </w:p>
    <w:p>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pPr>
        <w:wordWrap w:val="0"/>
        <w:jc w:val="center"/>
        <w:rPr>
          <w:sz w:val="18"/>
          <w:szCs w:val="18"/>
        </w:rPr>
      </w:pPr>
      <w:r>
        <w:rPr>
          <w:sz w:val="18"/>
          <w:szCs w:val="18"/>
        </w:rPr>
        <w:t> </w:t>
      </w:r>
    </w:p>
    <w:p>
      <w:pPr>
        <w:wordWrap w:val="0"/>
        <w:jc w:val="center"/>
        <w:rPr>
          <w:sz w:val="18"/>
          <w:szCs w:val="18"/>
        </w:rPr>
      </w:pPr>
      <w:r>
        <w:rPr>
          <w:sz w:val="18"/>
          <w:szCs w:val="18"/>
        </w:rPr>
        <w:t> </w:t>
      </w:r>
    </w:p>
    <w:p>
      <w:pPr>
        <w:wordWrap w:val="0"/>
        <w:jc w:val="left"/>
        <w:rPr>
          <w:b/>
          <w:bCs/>
          <w:sz w:val="18"/>
          <w:szCs w:val="18"/>
        </w:rPr>
      </w:pPr>
    </w:p>
    <w:p>
      <w:pPr>
        <w:wordWrap w:val="0"/>
        <w:jc w:val="left"/>
        <w:rPr>
          <w:b/>
          <w:bCs/>
          <w:sz w:val="18"/>
          <w:szCs w:val="18"/>
        </w:rPr>
      </w:pPr>
    </w:p>
    <w:p>
      <w:pPr>
        <w:wordWrap w:val="0"/>
        <w:jc w:val="left"/>
        <w:rPr>
          <w:b/>
          <w:bCs/>
          <w:sz w:val="18"/>
          <w:szCs w:val="18"/>
        </w:rPr>
      </w:pPr>
    </w:p>
    <w:p>
      <w:pPr>
        <w:tabs>
          <w:tab w:val="left" w:pos="1080"/>
        </w:tabs>
        <w:wordWrap w:val="0"/>
        <w:ind w:firstLine="1780" w:firstLineChars="591"/>
        <w:jc w:val="left"/>
        <w:rPr>
          <w:rFonts w:hint="default" w:eastAsia="楷体_GB2312"/>
          <w:b/>
          <w:bCs/>
          <w:sz w:val="30"/>
          <w:szCs w:val="30"/>
          <w:u w:val="single"/>
          <w:lang w:val="en-US"/>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hint="eastAsia" w:eastAsia="楷体_GB2312"/>
          <w:b/>
          <w:bCs/>
          <w:sz w:val="30"/>
          <w:szCs w:val="30"/>
          <w:u w:val="single"/>
          <w:lang w:val="en-US" w:eastAsia="zh-CN"/>
        </w:rPr>
        <w:t>算法偏见：人工智能决策系统</w:t>
      </w:r>
    </w:p>
    <w:p>
      <w:pPr>
        <w:tabs>
          <w:tab w:val="left" w:pos="1080"/>
        </w:tabs>
        <w:wordWrap w:val="0"/>
        <w:ind w:firstLine="1780" w:firstLineChars="591"/>
        <w:jc w:val="left"/>
        <w:rPr>
          <w:rFonts w:hint="default" w:eastAsia="楷体_GB2312"/>
          <w:b/>
          <w:bCs/>
          <w:sz w:val="30"/>
          <w:szCs w:val="30"/>
          <w:u w:val="single"/>
          <w:lang w:val="en-US" w:eastAsia="zh-CN"/>
        </w:rPr>
      </w:pPr>
      <w:r>
        <w:rPr>
          <w:rFonts w:hint="eastAsia" w:eastAsia="楷体_GB2312"/>
          <w:b/>
          <w:bCs/>
          <w:sz w:val="30"/>
          <w:szCs w:val="30"/>
          <w:u w:val="single"/>
          <w:lang w:val="en-US" w:eastAsia="zh-CN"/>
        </w:rPr>
        <w:t>中的社会公平挑战与社会治理路径研究</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hint="eastAsia" w:eastAsia="楷体_GB2312"/>
          <w:b/>
          <w:bCs/>
          <w:sz w:val="30"/>
          <w:szCs w:val="30"/>
          <w:u w:val="single"/>
          <w:lang w:val="en-US" w:eastAsia="zh-CN"/>
        </w:rPr>
        <w:t>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r>
        <w:rPr>
          <w:rFonts w:hint="eastAsia" w:eastAsia="楷体_GB2312"/>
          <w:b/>
          <w:bCs/>
          <w:sz w:val="30"/>
          <w:szCs w:val="30"/>
          <w:u w:val="single"/>
        </w:rPr>
        <w:t xml:space="preserve">    </w:t>
      </w:r>
    </w:p>
    <w:p>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计算机科学与技术    </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B220408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B22040812</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hint="eastAsia" w:eastAsia="楷体_GB2312"/>
          <w:b/>
          <w:bCs/>
          <w:sz w:val="30"/>
          <w:szCs w:val="30"/>
          <w:u w:val="single"/>
          <w:lang w:val="en-US" w:eastAsia="zh-CN"/>
        </w:rPr>
        <w:t>肖敦行</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张莹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 xml:space="preserve">        </w:t>
      </w:r>
      <w:r>
        <w:rPr>
          <w:rFonts w:eastAsia="楷体_GB2312"/>
          <w:b/>
          <w:bCs/>
          <w:sz w:val="30"/>
          <w:szCs w:val="30"/>
          <w:u w:val="single"/>
        </w:rPr>
        <w:t xml:space="preserve">   </w:t>
      </w:r>
    </w:p>
    <w:p>
      <w:pPr>
        <w:wordWrap w:val="0"/>
        <w:rPr>
          <w:sz w:val="18"/>
          <w:szCs w:val="18"/>
        </w:rPr>
      </w:pPr>
    </w:p>
    <w:p>
      <w:pPr>
        <w:ind w:firstLine="3330" w:firstLineChars="1850"/>
        <w:rPr>
          <w:sz w:val="18"/>
          <w:szCs w:val="18"/>
        </w:rPr>
      </w:pPr>
    </w:p>
    <w:p>
      <w:pPr>
        <w:rPr>
          <w:sz w:val="18"/>
          <w:szCs w:val="18"/>
        </w:rPr>
      </w:pPr>
    </w:p>
    <w:p>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hint="eastAsia" w:ascii="仿宋" w:hAnsi="仿宋" w:eastAsia="仿宋"/>
          <w:sz w:val="24"/>
          <w:szCs w:val="24"/>
        </w:rPr>
        <w:t xml:space="preserve">年 </w:t>
      </w:r>
      <w:r>
        <w:rPr>
          <w:rFonts w:hint="eastAsia" w:ascii="仿宋" w:hAnsi="仿宋" w:eastAsia="仿宋"/>
          <w:sz w:val="24"/>
          <w:szCs w:val="24"/>
          <w:lang w:val="en-US" w:eastAsia="zh-CN"/>
        </w:rPr>
        <w:t>12</w:t>
      </w:r>
      <w:r>
        <w:rPr>
          <w:rFonts w:hint="eastAsia" w:ascii="仿宋" w:hAnsi="仿宋" w:eastAsia="仿宋"/>
          <w:sz w:val="24"/>
          <w:szCs w:val="24"/>
        </w:rPr>
        <w:t xml:space="preserve">月 </w:t>
      </w:r>
      <w:r>
        <w:rPr>
          <w:rFonts w:hint="eastAsia" w:ascii="仿宋" w:hAnsi="仿宋" w:eastAsia="仿宋"/>
          <w:sz w:val="24"/>
          <w:szCs w:val="24"/>
          <w:lang w:val="en-US" w:eastAsia="zh-CN"/>
        </w:rPr>
        <w:t>9</w:t>
      </w:r>
      <w:r>
        <w:rPr>
          <w:rFonts w:hint="eastAsia" w:ascii="仿宋" w:hAnsi="仿宋" w:eastAsia="仿宋"/>
          <w:sz w:val="24"/>
          <w:szCs w:val="24"/>
        </w:rPr>
        <w:t>日</w:t>
      </w:r>
    </w:p>
    <w:p>
      <w:pPr>
        <w:widowControl/>
        <w:jc w:val="left"/>
        <w:rPr>
          <w:rFonts w:ascii="仿宋" w:hAnsi="仿宋" w:eastAsia="仿宋"/>
          <w:sz w:val="30"/>
          <w:szCs w:val="30"/>
        </w:rPr>
      </w:pPr>
      <w:r>
        <w:rPr>
          <w:rFonts w:ascii="仿宋" w:hAnsi="仿宋" w:eastAsia="仿宋"/>
          <w:sz w:val="30"/>
          <w:szCs w:val="30"/>
        </w:rPr>
        <w:br w:type="page"/>
      </w:r>
    </w:p>
    <w:p>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2"/>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lang w:val="en-US" w:eastAsia="zh-CN"/>
              </w:rPr>
              <w:t>算法偏见：人工智能决策系统中的社会公平挑战与治理路径研究</w:t>
            </w:r>
            <w:r>
              <w:rPr>
                <w:rFonts w:hint="eastAsia" w:ascii="仿宋" w:hAnsi="仿宋" w:eastAsia="仿宋"/>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rPr>
            </w:pPr>
            <w:r>
              <w:rPr>
                <w:rFonts w:hint="eastAsia" w:ascii="仿宋" w:hAnsi="仿宋" w:eastAsia="仿宋"/>
                <w:lang w:val="en-US" w:eastAsia="zh-CN"/>
              </w:rPr>
              <w:t>肖敦行</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hint="default" w:ascii="仿宋" w:hAnsi="仿宋" w:eastAsia="仿宋"/>
                <w:lang w:val="en-US" w:eastAsia="zh-CN"/>
              </w:rPr>
            </w:pPr>
            <w:r>
              <w:rPr>
                <w:rFonts w:ascii="仿宋" w:hAnsi="仿宋" w:eastAsia="仿宋"/>
              </w:rPr>
              <w:t xml:space="preserve">  </w:t>
            </w:r>
            <w:r>
              <w:rPr>
                <w:rFonts w:hint="eastAsia" w:ascii="仿宋" w:hAnsi="仿宋" w:eastAsia="仿宋"/>
                <w:lang w:val="en-US" w:eastAsia="zh-CN"/>
              </w:rPr>
              <w:t>B22040812</w:t>
            </w:r>
          </w:p>
        </w:tc>
        <w:tc>
          <w:tcPr>
            <w:tcW w:w="1134" w:type="dxa"/>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楷体" w:hAnsi="楷体" w:eastAsia="楷体"/>
                <w:color w:val="000000"/>
              </w:rPr>
            </w:pPr>
            <w:r>
              <w:rPr>
                <w:rFonts w:hint="eastAsia" w:ascii="楷体" w:hAnsi="楷体" w:eastAsia="楷体"/>
                <w:color w:val="000000"/>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r>
              <w:rPr>
                <w:rFonts w:ascii="仿宋" w:hAnsi="仿宋" w:eastAsia="仿宋"/>
                <w:color w:val="00000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rPr>
                <w:rFonts w:ascii="仿宋" w:hAnsi="仿宋"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p>
          <w:p>
            <w:pPr>
              <w:tabs>
                <w:tab w:val="left" w:pos="6870"/>
              </w:tabs>
              <w:jc w:val="center"/>
              <w:rPr>
                <w:rFonts w:ascii="黑体" w:hAnsi="黑体" w:eastAsia="黑体"/>
              </w:rPr>
            </w:pPr>
            <w:r>
              <w:rPr>
                <w:rFonts w:hint="eastAsia" w:ascii="黑体" w:hAnsi="黑体" w:eastAsia="黑体"/>
              </w:rPr>
              <w:t>任课教师</w:t>
            </w:r>
          </w:p>
          <w:p>
            <w:pPr>
              <w:tabs>
                <w:tab w:val="left" w:pos="6870"/>
              </w:tabs>
              <w:jc w:val="center"/>
              <w:rPr>
                <w:rFonts w:ascii="黑体" w:hAnsi="黑体" w:eastAsia="黑体"/>
              </w:rPr>
            </w:pPr>
            <w:r>
              <w:rPr>
                <w:rFonts w:hint="eastAsia" w:ascii="黑体" w:hAnsi="黑体" w:eastAsia="黑体"/>
              </w:rPr>
              <w:t>评阅意见</w:t>
            </w: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p>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jc w:val="center"/>
              <w:rPr>
                <w:rFonts w:ascii="仿宋" w:hAnsi="仿宋" w:eastAsia="仿宋"/>
                <w:color w:val="000000"/>
              </w:rPr>
            </w:pPr>
          </w:p>
          <w:p>
            <w:pPr>
              <w:tabs>
                <w:tab w:val="left" w:pos="6870"/>
              </w:tabs>
              <w:rPr>
                <w:rFonts w:ascii="仿宋" w:hAnsi="仿宋" w:eastAsia="仿宋"/>
                <w:color w:val="000000"/>
              </w:rPr>
            </w:pPr>
          </w:p>
          <w:p>
            <w:pPr>
              <w:tabs>
                <w:tab w:val="left" w:pos="6870"/>
              </w:tabs>
              <w:rPr>
                <w:rFonts w:ascii="仿宋" w:hAnsi="仿宋" w:eastAsia="仿宋"/>
                <w:color w:val="000000"/>
              </w:rPr>
            </w:pPr>
          </w:p>
        </w:tc>
      </w:tr>
    </w:tbl>
    <w:p/>
    <w:p>
      <w:pPr>
        <w:jc w:val="center"/>
        <w:rPr>
          <w:rFonts w:hint="eastAsia" w:ascii="黑体" w:hAnsi="黑体" w:eastAsia="黑体" w:cs="黑体"/>
          <w:b/>
          <w:bCs/>
          <w:sz w:val="28"/>
          <w:szCs w:val="28"/>
          <w:highlight w:val="none"/>
        </w:rPr>
      </w:pPr>
      <w:r>
        <w:rPr>
          <w:rFonts w:hint="eastAsia" w:ascii="黑体" w:hAnsi="黑体" w:eastAsia="黑体" w:cs="黑体"/>
          <w:b/>
          <w:bCs/>
          <w:strike w:val="0"/>
          <w:dstrike w:val="0"/>
          <w:color w:val="000000"/>
          <w:sz w:val="28"/>
          <w:szCs w:val="28"/>
          <w:highlight w:val="none"/>
          <w:u w:val="none"/>
          <w:shd w:val="clear" w:color="auto" w:fill="auto"/>
        </w:rPr>
        <w:t>算法偏见：人工智能决策系统中的社会公平挑战与治理路径研究</w:t>
      </w:r>
    </w:p>
    <w:p>
      <w:pPr>
        <w:rPr>
          <w:b/>
          <w:bCs/>
          <w:sz w:val="24"/>
          <w:highlight w:val="none"/>
        </w:rPr>
      </w:pPr>
      <w:r>
        <w:rPr>
          <w:b/>
          <w:bCs/>
          <w:strike w:val="0"/>
          <w:dstrike w:val="0"/>
          <w:color w:val="000000"/>
          <w:sz w:val="24"/>
          <w:highlight w:val="none"/>
          <w:u w:val="none"/>
          <w:shd w:val="clear" w:color="auto" w:fill="auto"/>
        </w:rPr>
        <w:t>摘要</w:t>
      </w:r>
    </w:p>
    <w:p>
      <w:pPr>
        <w:ind w:firstLine="420" w:firstLineChars="0"/>
        <w:rPr>
          <w:strike w:val="0"/>
          <w:dstrike w:val="0"/>
          <w:color w:val="auto"/>
          <w:sz w:val="24"/>
          <w:highlight w:val="none"/>
          <w:u w:val="none"/>
          <w:shd w:val="clear" w:color="auto" w:fill="auto"/>
        </w:rPr>
      </w:pPr>
      <w:r>
        <w:rPr>
          <w:rFonts w:hint="default"/>
          <w:strike w:val="0"/>
          <w:dstrike w:val="0"/>
          <w:color w:val="000000"/>
          <w:sz w:val="24"/>
          <w:highlight w:val="none"/>
          <w:u w:val="none"/>
          <w:shd w:val="clear" w:color="auto" w:fill="auto"/>
        </w:rPr>
        <w:t>当人工智能介入招聘、信贷、司法等重要决策，人们不禁要问：机器的判断是否真正公正？算法偏见并非单纯的技术缺陷，它更像一面镜子，映照出社会既有</w:t>
      </w:r>
      <w:r>
        <w:rPr>
          <w:rFonts w:hint="default"/>
          <w:strike w:val="0"/>
          <w:dstrike w:val="0"/>
          <w:color w:val="auto"/>
          <w:sz w:val="24"/>
          <w:highlight w:val="none"/>
          <w:u w:val="none"/>
          <w:shd w:val="clear" w:color="auto" w:fill="auto"/>
        </w:rPr>
        <w:t>的不公与裂痕。从数据源头、模型设计到系统落地，偏见如暗流般渗透其中</w:t>
      </w:r>
      <w:r>
        <w:rPr>
          <w:rFonts w:hint="default" w:ascii="Times New Roman" w:hAnsi="Times New Roman" w:cs="Times New Roman"/>
          <w:strike w:val="0"/>
          <w:dstrike w:val="0"/>
          <w:color w:val="auto"/>
          <w:sz w:val="24"/>
          <w:highlight w:val="none"/>
          <w:u w:val="none"/>
          <w:shd w:val="clear" w:color="auto" w:fill="auto"/>
        </w:rPr>
        <w:t>——无</w:t>
      </w:r>
      <w:r>
        <w:rPr>
          <w:rFonts w:hint="default"/>
          <w:strike w:val="0"/>
          <w:dstrike w:val="0"/>
          <w:color w:val="auto"/>
          <w:sz w:val="24"/>
          <w:highlight w:val="none"/>
          <w:u w:val="none"/>
          <w:shd w:val="clear" w:color="auto" w:fill="auto"/>
        </w:rPr>
        <w:t>论是美国法院曾使用的</w:t>
      </w:r>
      <w:r>
        <w:rPr>
          <w:rFonts w:hint="default" w:ascii="Times New Roman" w:hAnsi="Times New Roman" w:cs="Times New Roman"/>
          <w:strike w:val="0"/>
          <w:dstrike w:val="0"/>
          <w:color w:val="auto"/>
          <w:sz w:val="24"/>
          <w:highlight w:val="none"/>
          <w:u w:val="none"/>
          <w:shd w:val="clear" w:color="auto" w:fill="auto"/>
        </w:rPr>
        <w:t>COMPAS</w:t>
      </w:r>
      <w:r>
        <w:rPr>
          <w:rFonts w:hint="default"/>
          <w:strike w:val="0"/>
          <w:dstrike w:val="0"/>
          <w:color w:val="auto"/>
          <w:sz w:val="24"/>
          <w:highlight w:val="none"/>
          <w:u w:val="none"/>
          <w:shd w:val="clear" w:color="auto" w:fill="auto"/>
        </w:rPr>
        <w:t>风险评估系统对少数族裔的偏差，还是亚马逊招聘工具对女性的隐形排斥，抑或国内某些信贷平台基于社交行为作出的“数字歧视”，都揭示出技术往往放大了人间固有的偏见。</w:t>
      </w:r>
    </w:p>
    <w:p>
      <w:pPr>
        <w:ind w:firstLine="420" w:firstLineChars="0"/>
        <w:rPr>
          <w:rFonts w:hint="default"/>
          <w:strike w:val="0"/>
          <w:dstrike w:val="0"/>
          <w:color w:val="auto"/>
          <w:sz w:val="24"/>
          <w:highlight w:val="none"/>
          <w:u w:val="none"/>
          <w:shd w:val="clear" w:color="auto" w:fill="auto"/>
        </w:rPr>
      </w:pPr>
      <w:r>
        <w:rPr>
          <w:rFonts w:hint="default"/>
          <w:strike w:val="0"/>
          <w:dstrike w:val="0"/>
          <w:color w:val="auto"/>
          <w:sz w:val="24"/>
          <w:highlight w:val="none"/>
          <w:u w:val="none"/>
          <w:shd w:val="clear" w:color="auto" w:fill="auto"/>
        </w:rPr>
        <w:t>应对这一问题，仅靠技术优化远远不够。我们既需要在算法内部嵌入制衡机制，也呼唤外部的法律规范与行业标准成为可靠护栏。而更深层的改变，或许在于构建一种贯穿技术研发、应用与使用的伦理自觉——让每个相关者保持反思与警觉。说到底，AI能否推动社会走向更公平的未来，并不取决于其计算能力，而在于我们是否愿意赋予它清醒的价值观。这条路注定漫长，却值得我们一步步向前探寻。</w:t>
      </w:r>
    </w:p>
    <w:p>
      <w:pPr>
        <w:rPr>
          <w:rFonts w:hint="eastAsia" w:eastAsiaTheme="minorEastAsia"/>
          <w:strike w:val="0"/>
          <w:dstrike w:val="0"/>
          <w:color w:val="auto"/>
          <w:sz w:val="24"/>
          <w:highlight w:val="none"/>
          <w:u w:val="none"/>
          <w:shd w:val="clear" w:color="auto" w:fill="auto"/>
          <w:lang w:eastAsia="zh-CN"/>
        </w:rPr>
      </w:pPr>
      <w:r>
        <w:rPr>
          <w:b/>
          <w:bCs/>
          <w:strike w:val="0"/>
          <w:dstrike w:val="0"/>
          <w:color w:val="auto"/>
          <w:sz w:val="24"/>
          <w:highlight w:val="none"/>
          <w:u w:val="none"/>
          <w:shd w:val="clear" w:color="auto" w:fill="auto"/>
        </w:rPr>
        <w:t>关键词：</w:t>
      </w:r>
      <w:r>
        <w:rPr>
          <w:strike w:val="0"/>
          <w:dstrike w:val="0"/>
          <w:color w:val="auto"/>
          <w:sz w:val="24"/>
          <w:highlight w:val="none"/>
          <w:u w:val="none"/>
          <w:shd w:val="clear" w:color="auto" w:fill="auto"/>
        </w:rPr>
        <w:t> 算法偏见；人工智能伦理；社会公平；治理路径</w:t>
      </w:r>
      <w:bookmarkStart w:id="0" w:name="_GoBack"/>
      <w:bookmarkEnd w:id="0"/>
    </w:p>
    <w:p>
      <w:pPr>
        <w:rPr>
          <w:strike w:val="0"/>
          <w:dstrike w:val="0"/>
          <w:color w:val="auto"/>
          <w:sz w:val="24"/>
          <w:highlight w:val="none"/>
          <w:u w:val="none"/>
          <w:shd w:val="clear" w:color="auto" w:fill="auto"/>
        </w:rPr>
      </w:pPr>
    </w:p>
    <w:p>
      <w:pPr>
        <w:rPr>
          <w:b/>
          <w:bCs/>
          <w:color w:val="auto"/>
          <w:sz w:val="24"/>
          <w:highlight w:val="none"/>
        </w:rPr>
      </w:pPr>
      <w:r>
        <w:rPr>
          <w:b/>
          <w:bCs/>
          <w:strike w:val="0"/>
          <w:dstrike w:val="0"/>
          <w:color w:val="auto"/>
          <w:sz w:val="24"/>
          <w:highlight w:val="none"/>
          <w:u w:val="none"/>
          <w:shd w:val="clear" w:color="auto" w:fill="auto"/>
        </w:rPr>
        <w:t>一、引言</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当人工智能开始为法庭量刑、审批贷款、筛选简历甚至辅助诊断时，它不再只是实验室里的新奇发明——这个看不见的“架构师”，正实实在在地分配着机会与命运。</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我们正身处一场知识爆炸的洪流中。斯坦福大学去年的一份报告显示，2022年全球AI相关出版物已突破32万项，而中国在论文与专利数量上已走在前面。技术涌出象牙塔，影响力与日俱增。但问题也随之而来：当算法坐上“裁判席”，它真能保持公正吗？</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所谓技术中立的神话，其实早已出现裂痕。即便是像GPT-4这样经过精心训练的顶尖模型，也难免流露出潜藏的社会偏见——它可能无意中将某些种族与负面词汇挂钩，或者把女性固定在某些传统职业的想象里。这些看似微小的偏差，一旦进入自动化招聘或信贷评估系统，就会化身为高效运转的“歧视机器”，把历史上深植的社会不公，包装成客观冷静的技术结论。</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这背后，其实是工程与社会之间一场复杂的舞蹈。工程社会学早就提醒我们，任何技术系统都不是在真空中诞生的；它从设计之初，就嵌入了社会结构、文化观念与权力关系的基因。就像建造一座大桥需要协调多方利益，一套AI系统的诞生与运作，同样是开发者、企业、监管机构与用户共同参与的社会合奏。各方的意图、价值观乃至无意识的偏好，最终都可能被编织进算法与数据之中。输出的结果，有时候非但没能填平沟壑，反而在无形中加固了原有的社会断层。</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所以，看待算法偏见，或许不该只把它当成一个等待修复的技术“漏洞”。我们更需要潜入它所生长的社会土壤深处去理解。这篇文章就想做一次这样的尝试——透过“工程与社会如何相互塑造”这枚透镜，重新审视算法偏见。这未必能立竿见影地解决问题，但或许可以帮助我们跳脱出“要么改模型、要么立规矩”的惯性思维，去触碰偏见滋生、流动与固化的深层脉络。毕竟，要想建造一个更包容的智能社会，总得先看清它脚下土地的质地。</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接下来的内容，会先梳理算法偏见在学界已被勾勒出的轮廓；再用几个刺痛现实的案例，剖析其背后盘根错节的原因；之后，我们会探讨能否从技术、法规与伦理三个层面，搭建一个更有韧性的治理框架；最后，则是一些仍待解答的疑问，以及对我们共同未来的隐约眺望。</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二、文献综述：算法偏见的生成、共振与规制</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关于算法偏见的讨论，这些年越来越像一场停不下来的多声部合奏。最初的声音来自计算机实验室——工程师们盯着代码和数据集，试图找出模型哪里“学歪了”。但很快，对话就溢出到了完全不同的场域：法学家在争论如何为无形算法划定责任，社会学家剖析技术背后隐藏的权力结构，伦理学者则不断追问——我们究竟想要一个怎样的智能社会？</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这些声音交织在一起，早已超越单纯的技术调试。你会发现，一场关于算法公平的研讨会，常常像个小型的当代思想缩影：有人带着程序员的务实精神，执着于优化某个指标；有人则携带更厚重的人文关切，担忧技术正在无声地重塑人的机会与尊严。有趣的是，他们往往在用不同的语言，说着本质上相关的事。</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这种跨学科的喧哗，或许恰恰说明，算法偏见从来就不是一个能关在实验室里解决的问题。它从一行代码开始，最终触碰到的是公义、平等和权力这些古老而根本的命题。当我们聆听这些不同的“声部”时，听到的既是当下对技术理性的集体审慎，也未尝不是一次社会如何理解自身、走向何方的思考。</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2.1 偏见的源头：从数据镜像到系统循环</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把算法偏见仅仅看作代码漏洞，可能低估了问题的深度。它的根，其实扎在技术与社会彼此缠绕的土壤里，在每个环节悄悄生长。</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一切往往从数据开始。训练数据并非凭空生成，它是对过去世界的数字存档，难免带着历史的印记——那些长期存在的社会不平等与结构性歧视。举个例子，用来预测犯罪的历史司法数据，可能如实反映了过去执法中对某些社区的格外“关注”；用于招聘的简历库，则可能延续了职场中曾经的性别或种族隔阂。算法高效地学会了这些模式，却无力分辨背后复杂的社会成因，于是不自觉地，把历史偏见当成了客观规律来延续。这不止是“垃圾进，垃圾出”，更像把一本写满不平等的历史书，当成了绘制未来公平蓝图的唯一依据。</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当数据流进算法的黑箱，工程师们的集体认知与价值判断便开始悄然作用。这里浮现一个根本的困境：公平本身，该如何用数学语言定义？是要求不同群体获得同等比例的结果，还是保证在相似条件下机会均等？这些定义在算式里常常彼此冲突。选择优化哪一个，本质上是一种隐形的价值选择。就像有研究者提醒的，理解算法偏见的哲学前提，比急于技术干预更为根本。而在追求“模型性能最优”的浓厚工程文化里，准确率、效率这些可量化的指标往往占据中心，至于那些更模糊却关键的社会公平考量，则容易被推至边缘。</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或许最棘手的，是系统自带的反馈循环。一个带有偏见的算法一旦投入使用，它的决策就开始真实地塑造现实——它可能拒绝向某个群体发放贷款，或筛掉某一类求职者。而这些行动产生的新数据，又会回头喂养最初的模型，不断“证实”并强化其偏见。偏见就这样获得了某种生命力，从一个静态缺陷，蜕变为动态的、不断自我巩固的系统循环。它不再只是代码里的错误，而成了系统运转逻辑的一部分。</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2.2 影响的共振：从全球案例到本土情境</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算法偏见的社会影响，早已不再只是理论推演。一系列标志性案例，将它从学术论文里请了出来，放进许多人的真实生活之中。而我们会发现，偏见似乎有自己的“嗅觉”——它往往在社会本已脆弱的地带，找到最强烈的回声。</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看看世界范围内的故事。COMPAS风险评估系统和亚马逊那套短命的招聘工具，如今几乎成了算法伦理课的必讲案例。它们以一种近乎冷酷的方式揭示：算法可以如何将历史中根深蒂固的歧视——无论是司法中对特定种族的偏见，还是职场对女性的无形排斥——进行自动化、规模化的“转码”，包装成一份份客观、冷静的科学评分。不平等由此获得了一件新外衣，上面绣着“技术中立”的花纹，反而让人更难质疑和挑战。偏见就这样从人人可见的社会问题，化身为系统内部沉默运转的流程，问责的线索，往往在此中断。</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那么，在我们这片快速数字化的土地上，算法偏见又弹奏出怎样的曲调？研究正在描摹出一些更具体的轮廓。在金融科技领域，一些信用评估模型可能会悄悄倚重你的“消费品牌偏好”、“常驻区域”，甚至“社交网络特征”。这些看似中性的代理变量，实则潜藏着“数字歧视”的风险：一个依靠零工收入维生的年轻人，或是一位生活在非核心城区的居民，或许会在不知不觉中被系统划到“低信用”区域，被排斥在普惠金融的服务之外。</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它的影响还不止于钱。在公共健康领域，当人工智能负责推送健康资讯时，那道横亘在城乡、代际与不同教育背景人群之间的“数字鸿沟”，可能反而被技术无意中拉大了。信息获取的不平等，很可能悄然转化为健康结果上的新差距。更不必说，国内一些主流大语言模型在测试中，依然会流露出对某些职业或群体的刻板联想。这些本土研究像一面面镜子，共同映照出一个事实：算法偏见固然是一个全球性结构问题，但它如何具体地嵌入生活、作用于个体，非得放在我们自己的社会脉络与文化肌理中，才能被真正触摸和理解。</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2.3 规制的演进：从技术修复到多元共治</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面对日益清晰的挑战，我们应对算法偏见的思路，其实已经悄然转向。最初的探索很自然地从技术内部开始，如今则更多地望向整个生态系统——从修复代码，转向构建多方参与的制衡网络。</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早期的努力，几乎都聚焦在“技术矫正”上。“公平机器学习”试图用数学公式约束模型的偏差，“可解释人工智能”则努力揭开黑箱，让算法的决策逻辑变得可追溯。这些工具当然必要，但时间久了，研究者们也意识到它们的局限——它们像一把精密的手术刀，能切除某些明显的“肿瘤”，但对于那些根植于社会结构的“慢性病”，往往力有不逮。</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于是，硬性的法规约束成了必然的下一步。从欧盟的《人工智能法案》到我国的《算法推荐管理规定》，全球立法进程明显加快。其中，类似“算法影响评估”这样的制度设想备受关注，它就像技术版的环境评估，试图在系统落地前预判风险。而独立的第三方审计，则希望能在事后形成持续监督。这些尝试的核心，是把问责的链条贯穿到算法生命的全过程。</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但或许最深远的改变，发生在更不易察觉的层面——那就是伦理与文化的塑造。这关乎我们如何培养未来的技术建造者。计算机教育是否能在传授编程技能之外，更多地融入伦理思辨与社会洞察？企业能否建立起真正拥有话语权的伦理委员会，让伦理审查不再只是产品发布前的装饰，而是开发过程中有力的刹车阀？说到底，有效的治理最终必然走向多元共治：政府划定底线，企业担负主责，学界提供洞察，而公众，则需要从被动的接受者，转变为积极的监督与参与者。</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这条路没有一劳永逸的解决方案。或许只有当持续的社会对话与快速的技术迭代相互磨砺，我们才可能真正驾驭算法这股力量，让它服务于更广泛的福祉，而不是在无形中加深这个时代已有的裂痕。</w:t>
      </w:r>
    </w:p>
    <w:p>
      <w:pPr>
        <w:rPr>
          <w:rFonts w:hint="default" w:ascii="Times New Roman" w:hAnsi="Times New Roman" w:eastAsia="宋体" w:cs="Times New Roman"/>
          <w:strike w:val="0"/>
          <w:dstrike w:val="0"/>
          <w:color w:val="auto"/>
          <w:sz w:val="24"/>
          <w:highlight w:val="none"/>
          <w:u w:val="none"/>
          <w:shd w:val="clear" w:color="auto" w:fill="auto"/>
        </w:rPr>
      </w:pP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三、算法偏见的社会建构与案例剖析</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算法偏见之所以顽固且危害深远，在于它并非简单的编程失误，而是社会既有不平等通过一套复杂的技术社会过程被编码、执行和放大的结果。本节我们将结合具体案例，试着拆解这一建构过程。</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3.1 算法偏见产生的社会技术复合根源</w:t>
      </w:r>
    </w:p>
    <w:p>
      <w:pPr>
        <w:ind w:firstLine="42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从工程社会学的角度看，构建一个AI系统，和筹划一座大桥或一项大型工程，骨子里有几分相似——它从来不是纯粹的技术组装，而是开发者、企业、用户、监管方等众多角色，在持续互动、协商甚至博弈中，共同完成的一次社会性整合。偏见，往往就在这个看似理性的过程中，悄然萌发。</w:t>
      </w:r>
    </w:p>
    <w:p>
      <w:pPr>
        <w:ind w:firstLine="42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数据根源：训练数据是算法认知世界的起点，但它所记录的，往往是充满历史痕迹的现实。比方说，在职业领域的历史数据里，男性程序员的数量可能远远超过女性。算法从中学习的，便容易将“程序员”这个身份与“男性”紧密绑定。这实际上是把历史上因社会偏见、教育机会不均所造成的职业隔离，无声地转化成了数据特征，继而让算法“继承”并强化了这种印象。数据在这里，像极了保存社会偏见的“数字化石”。</w:t>
      </w:r>
    </w:p>
    <w:p>
      <w:pPr>
        <w:ind w:firstLine="42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设计根源：算法的设计过程，处处渗透着价值判断。从选择哪些特征、优化什么目标，到用什么标准衡量模型好坏，每一步都隐含着设计者自身的视角与取舍。但现实是，许多开发团队在背景、性别、文化视角上往往趋于同质。这种同质性，有时就像一道无形的“无知之幕”，让他们难以觉察某些设计选择可能对边缘群体带来的 unintended consequences。更不用说，在追求效率、准确率这些可量化指标的过程中，公平、包容这些更柔软的社会价值，容易被挤到决策的角落。</w:t>
      </w:r>
    </w:p>
    <w:p>
      <w:pPr>
        <w:ind w:firstLine="42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系统互动根源：算法一旦投入应用，就通过“反馈循环”与现实紧密互动，形成动态的强化机制。想象一个带偏见的招聘工具：它若筛掉更多女性简历，公司就可能招进更多男性；这批新员工的数据又反馈给模型，训练它进一步相信“男性更胜任”。偏见就这样从一个静态的设定，演变成系统内部自我验证、不断放大的循环。它不再是代码里的一个错误，而成了系统运转逻辑本身——一个很难从内部打破的、自我实现的预言。</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3.2 典型案例的多维剖析</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3.2.1 COMPAS再犯风险评估系统：当算法为历史歧视“背书”</w:t>
      </w:r>
      <w:r>
        <w:rPr>
          <w:rFonts w:hint="default" w:ascii="Times New Roman" w:hAnsi="Times New Roman" w:eastAsia="宋体" w:cs="Times New Roman"/>
          <w:strike w:val="0"/>
          <w:dstrike w:val="0"/>
          <w:color w:val="auto"/>
          <w:sz w:val="24"/>
          <w:highlight w:val="none"/>
          <w:u w:val="none"/>
          <w:shd w:val="clear" w:color="auto" w:fill="auto"/>
        </w:rPr>
        <w:br w:type="textWrapping"/>
      </w: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这或许堪称算法不公的经典一幕。COMPAS系统在美国多地被法院用作评估被告再犯风险的“科学助手”，但它的判决却暴露出一道深刻的数字裂痕。</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调查显示，这套系统的错误并非均匀分布——它仿佛戴着两副不同的眼镜看待不同肤色的人。当预测“未来会再犯”时，黑人被误判为高风险的比例竟是白人的两倍；而当预测“未来不会犯罪”时，白人被误判为低风险的几率却明显更高。</w:t>
      </w:r>
    </w:p>
    <w:p>
      <w:pPr>
        <w:ind w:firstLine="420" w:firstLineChars="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讽刺的是，这种偏差恰恰发生在决定人生走向的关键节点：风险评估分数直接影响保释、量刑乃至假释。算法本应成为公正的辅助工具，却在无形中让历史中的结构性不平等，通过数学公式获得了新的生命。它提醒我们，当技术系统被赋予裁量权时，任何隐藏在代码中的偏差，都可能变成现实中压垮个体的沉重砝码。</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技术社会剖析：</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·数据层面： 模型的训练数据源自历史逮捕与定罪记录——这些数据早已浸透了美国刑事司法系统中长期存在的结构性种族偏见。算法所学习的，并非纯粹的“犯罪规律”，而是一面反映着执法差异、司法不公乃至社区历史境遇的扭曲镜子。某种意义上，系统只是将过去的歧视，凝固成了看似客观的数字原料。</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·设计层面： 算法的优化目标设定为最小化整体错误率，却未对不同群体承受的“错误代价”加以区分。这就像一架天平，只追求两端重量总和相等，却无视一边托盘放着自由、另一边托盘放着人生。当黑人被误判为高风险、白人被误判为低风险的概率形成系统性落差时，所谓的“客观预测”，实际上在数学层面默认了这种不平等是可以容忍的。</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社会影响：最值得警惕的，或许是COMPAS将历史中可能带有偏见的司法实践，包裹上客观、科学的“风险分数”外衣。这不仅仅是一个技术失误——它让结构性歧视在算法时代获得了新的“合法性”。质疑算法的结论，仿佛变成了对抗科学与效率；而深植于系统中的不公，却借此隐形，像一道幽灵，继续徘徊在法庭与监狱之间。</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b w:val="0"/>
          <w:bCs w:val="0"/>
          <w:strike w:val="0"/>
          <w:dstrike w:val="0"/>
          <w:color w:val="auto"/>
          <w:sz w:val="24"/>
          <w:highlight w:val="none"/>
          <w:u w:val="none"/>
          <w:shd w:val="clear" w:color="auto" w:fill="auto"/>
        </w:rPr>
        <w:t>3.2.2 亚马逊AI招聘工具：效率追求下的性别歧视自动化</w:t>
      </w:r>
      <w:r>
        <w:rPr>
          <w:rFonts w:hint="default" w:ascii="Times New Roman" w:hAnsi="Times New Roman" w:eastAsia="宋体" w:cs="Times New Roman"/>
          <w:strike w:val="0"/>
          <w:dstrike w:val="0"/>
          <w:color w:val="auto"/>
          <w:sz w:val="24"/>
          <w:highlight w:val="none"/>
          <w:u w:val="none"/>
          <w:shd w:val="clear" w:color="auto" w:fill="auto"/>
        </w:rPr>
        <w:br w:type="textWrapping"/>
      </w:r>
      <w:r>
        <w:rPr>
          <w:rFonts w:hint="default" w:ascii="Times New Roman" w:hAnsi="Times New Roman" w:eastAsia="宋体" w:cs="Times New Roman"/>
          <w:strike w:val="0"/>
          <w:dstrike w:val="0"/>
          <w:color w:val="auto"/>
          <w:sz w:val="24"/>
          <w:highlight w:val="none"/>
          <w:u w:val="none"/>
          <w:shd w:val="clear" w:color="auto" w:fill="auto"/>
          <w:lang w:val="en-US" w:eastAsia="zh-CN"/>
        </w:rPr>
        <w:tab/>
      </w:r>
      <w:r>
        <w:rPr>
          <w:rFonts w:hint="default" w:ascii="Times New Roman" w:hAnsi="Times New Roman" w:eastAsia="宋体" w:cs="Times New Roman"/>
          <w:strike w:val="0"/>
          <w:dstrike w:val="0"/>
          <w:color w:val="auto"/>
          <w:sz w:val="24"/>
          <w:highlight w:val="none"/>
          <w:u w:val="none"/>
          <w:shd w:val="clear" w:color="auto" w:fill="auto"/>
        </w:rPr>
        <w:t>几年前，亚马逊悄悄研发了一套AI系统，想用它自动筛选技术岗位的简历。想法很直接：提高效率，节省人力。但结果却让人大跌眼镜——这个聪明的工具，居然学会了“歧视”女性。</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技术社会剖析：</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·数据与反馈循环： 这事揭示了一个典型的恶性循环：我们用带有偏见的历史数据去训练模型，模型便乖乖地复制并放大了这些偏见。那些简历数据，本身只是职场性别隔离的“结果”，算法却错把它当成了招聘的“因果”规律。历史尘埃，就这样被写进了未来程序。</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工程实践文化：在这种以“效率提升”为核心的工程文化里，速度和技术指标常常被摆在最前面。我猜想，项目初期那些关于社会伦理风险的微弱提醒，很可能被视作需要“优化”掉的障碍，轻轻一敲回车就被绕了过去。</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·行动者网络： 在这个由工程师、历史数据、算法和HR流程构成的网络里，最沉默的“历史数据”反而成了最具影响力的行动者。它无声地塑造了整个系统的偏向。而公司宣传册上那些漂亮的多元化承诺，到了技术执行层面，早已被架空，成了一串无效的代码。</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3.2.3 国内消费信贷的“数字歧视”：新形态的社会排斥</w:t>
      </w:r>
      <w:r>
        <w:rPr>
          <w:rFonts w:hint="default" w:ascii="Times New Roman" w:hAnsi="Times New Roman" w:eastAsia="宋体" w:cs="Times New Roman"/>
          <w:strike w:val="0"/>
          <w:dstrike w:val="0"/>
          <w:color w:val="auto"/>
          <w:sz w:val="24"/>
          <w:highlight w:val="none"/>
          <w:u w:val="none"/>
          <w:shd w:val="clear" w:color="auto" w:fill="auto"/>
        </w:rPr>
        <w:br w:type="textWrapping"/>
      </w: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如今，向手机里的金融App借钱越来越方便。但你有没有想过，它的“秒批”或“拒贷”依据是什么？很大程度上，是一套基于你行为数据的信用模型。平台仔细打量着你：用什么牌子的手机、是否经常海淘、夜里消费多不多……这些都被加工成所谓的“代理特征”。比如说，用最新款高端手机、时常海外购物，可能会被模型解读为“信用良好”的信号。反过来，一个消费习惯传统、偏好线下支付、或者因为工作需要而昼伏夜出的人，他的信用评分就可能莫名其妙地被打低。</w:t>
      </w:r>
    </w:p>
    <w:p>
      <w:pPr>
        <w:ind w:firstLine="420" w:firstLineChars="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lang w:val="en-US" w:eastAsia="zh-CN"/>
        </w:rPr>
        <w:t>但是</w:t>
      </w:r>
      <w:r>
        <w:rPr>
          <w:rFonts w:hint="default" w:ascii="Times New Roman" w:hAnsi="Times New Roman" w:eastAsia="宋体" w:cs="Times New Roman"/>
          <w:strike w:val="0"/>
          <w:dstrike w:val="0"/>
          <w:color w:val="auto"/>
          <w:sz w:val="24"/>
          <w:highlight w:val="none"/>
          <w:u w:val="none"/>
          <w:shd w:val="clear" w:color="auto" w:fill="auto"/>
        </w:rPr>
        <w:t>这真的公平吗？一个兢兢业业的老师傅，可能因为不熟悉网购而被低估信用；一个作息规律的夜班护士，也可能因为“夜间消费少”而显得“经济不活跃”。算法看似客观，实则构建了一道新的数字门槛。</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技术社会剖析：</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·特征工程偏见： 算法选用的这些“代理变量”，与一个人真实的还款意愿和能力，关联或许很脆弱。但它们却牢牢地和你的经济实力、居住城市、生活品味绑在一起。这实质上是一种巧妙的转换：将传统的社会经济排斥，包装成了技术中立的“数字排斥”。</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·权力不对称与解释黑箱： 作为用户，我们几乎完全活在黑箱里。你不知道规则，更无从争辩；就算隐约感到不公，面前也立着“算法复杂”和“商业机密”两堵高墙。而平台方呢，却可以轻松地用“精准风控”、“个性化服务”这样的技术话语，给任何结果披上合理的外衣。</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本土化情境：在中国这个数字化浪潮格外汹涌的社会，这套逻辑显得尤为突出。算法不仅仅是映照现有的社会分层，它甚至有可能积极参与塑造，创造出基于消费数据和数字轨迹的、全新的阶层划分标准。你的数字足迹，正在默默为你归类。</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3.3 算法偏见的社会放大效应</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与传统的人类决策偏见相比，算法偏见通过几种独特的效应，产生了规模化的社会影响：</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·规模化效应： 算法可以同时处理海量决策，使得一个微小的偏差被无限复制和放大，瞬间影响成千上万的个体。</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·自动化与客观化效应： 算法决策常被包装为“数据驱动”、“无情绪干扰”，其结果更容易被机构和个人不加批判地接受和执行，这无意中赋予了偏见更大的权威性。</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隐蔽性与问责困难效应：算法的决策路径往往深锁于“黑箱”之中，复杂难懂。这导致偏见难以被普通用户甚至监管者察觉和验证。当问题出现，工程师可能归咎于“数据”，公司则可能以“算法自主”为由卸责。问责的链条在此变得模糊甚至断裂，你感到不公，却找不到一个清晰的矛头所向。偏见，因此变得既无处不在，又无迹可寻。</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这三种效应层层叠加，产生了一种危险的化学反应。它意味着，算法偏见早已超越单纯的技术伦理讨论，转而深刻侵蚀着社会公平的根基。它关乎机会如何分配，权利如何保障，最终，它关乎我们想要一个怎样的、由技术参与塑造的未来社会。</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四、工程实践中的社会责任与综合治理路径</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有效的治理需要构建一个整合技术矫正、法规监管与伦理建设的系统性框架。任何单一维度的努力都像是用一把钥匙想打开所有的锁。</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rPr>
        <w:drawing>
          <wp:inline distT="0" distB="0" distL="114300" distR="114300">
            <wp:extent cx="5252720" cy="1173480"/>
            <wp:effectExtent l="0" t="0" r="5080" b="0"/>
            <wp:docPr id="1"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pic:cNvPicPr>
                      <a:picLocks noChangeAspect="1"/>
                    </pic:cNvPicPr>
                  </pic:nvPicPr>
                  <pic:blipFill>
                    <a:blip r:embed="rId5"/>
                    <a:stretch>
                      <a:fillRect/>
                    </a:stretch>
                  </pic:blipFill>
                  <pic:spPr>
                    <a:xfrm>
                      <a:off x="0" y="0"/>
                      <a:ext cx="5252720" cy="1173480"/>
                    </a:xfrm>
                    <a:prstGeom prst="rect">
                      <a:avLst/>
                    </a:prstGeom>
                  </pic:spPr>
                </pic:pic>
              </a:graphicData>
            </a:graphic>
          </wp:inline>
        </w:drawing>
      </w:r>
    </w:p>
    <w:p>
      <w:pPr>
        <w:jc w:val="center"/>
        <w:rPr>
          <w:rFonts w:hint="default" w:ascii="Times New Roman" w:hAnsi="Times New Roman" w:eastAsia="宋体" w:cs="Times New Roman"/>
          <w:color w:val="auto"/>
          <w:sz w:val="20"/>
          <w:szCs w:val="20"/>
          <w:highlight w:val="none"/>
        </w:rPr>
      </w:pPr>
      <w:r>
        <w:rPr>
          <w:rFonts w:hint="default" w:ascii="Times New Roman" w:hAnsi="Times New Roman" w:eastAsia="宋体" w:cs="Times New Roman"/>
          <w:strike w:val="0"/>
          <w:dstrike w:val="0"/>
          <w:color w:val="auto"/>
          <w:sz w:val="20"/>
          <w:szCs w:val="20"/>
          <w:highlight w:val="none"/>
          <w:u w:val="none"/>
          <w:shd w:val="clear" w:color="auto" w:fill="auto"/>
        </w:rPr>
        <w:t>图1：算法偏见“三维一体”综合治理框架示意图</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4.1 技术矫正维度：开发公平且透明的人工智能系统</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单纯地批评算法偏见或许不够，我们得看看，技术内部能否为自己装上“刹车”和“纠偏器”。技术矫正，就是试图从工程开发的源头，为系统设计一套内在的“免疫”机制。说起来容易做来难。这要求工程师们在构建模型时，就必须像对待精度和效率一样，严肃地定义并度量何为“公平”。</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·发展与应用公平机器学习： 这并非一项单一技术，而是一套需要审慎组合的工具箱。比如在招聘场景，你或许得对历史简历数据进行重新加权，平衡性别比例；或者在训练模型时，直接将“缩小不同群体间的录取率差距”作为一个硬性约束。关键在于，公平必须从一开始就被编写进目标函数，而不是在项目尾声才被匆匆想起，像一个可有可无的补丁。</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·全面推进可解释人工智能： 如果算法只给出一个冷冰冰的“拒绝”结论，用户怎么可能信服呢？可解释人工智能（XAI）试图扮演“翻译官”的角色，让机器能提供人可理解的决策依据。例如，系统可以具体说明：“拒绝贷款，主要由于您近期连续多笔大额消费，短期流动性风险评分偏高。” 这不仅帮助用户理解，也便于监管者审计，更让开发者能有效调试模型。本质上，XAI是把黑箱中的代码逻辑，转化成一份可供社会各方审视、讨论的“说明书”，这是技术走向民主化监督的关键一步。</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·践行参与式设计： 为什么不在画下第一行代码之前，就把会议桌扩大一圈呢？邀请社会科学家、伦理学家，以及更重要的——那些可能被系统影响的普通用户、边缘群体代表，一起参与设计。通过工作坊、原型测试，共同定义何为需要，何为风险，何为公平。这能有效打破工程师同质化思维的闭环，把社会价值从昂贵的“售后补救”，变成不可或缺的“出厂配置”。毕竟，一个关乎众人命运的系统，不应该只由一小部分人来定义它的好坏。</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4.2 法规监管维度：构建刚性的算法问责制度</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技术自身的矫正终归有其限度，它需要外部一套清晰、刚性的规则来划定边界。法律与政策的作用，就是为算法的运行铺设不可逾越的轨道，确保当“效率”狂奔时，“公平”与“责任”不会被甩出车厢。</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建立强制性的算法影响评估制度：我们或许可以借鉴“环境影响评估”的思路：要求企业在部署那些可能深刻影响个人机会或社会公平的高风险算法前，必须进行系统的评估与公开披露。这份“算法体检报告”需要说明系统的目的、数据来源、对不同群体可能造成的歧视风险，以及计划采取的缓释措施。这并非繁琐的文书工作，而是迫使开发者在工程决策的源头，就必须将社会影响作为一个核心变量来严肃考量。</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·推行独立的第三方算法审计与认证： 我们不能总指望企业自己监督自己。建立专业、独立的第三方审计机制至关重要。这些机构就像算法的“质检员”，可以对已上线的关键系统进行定期或突击“体检”，核查其实际运行是否真的符合所宣称的公平、准确与安全标准。审计结果可以与市场准入、政府采购资格等挂钩，形成有效的激励与约束。当然，审计本身的方法也必须透明、可信。</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·强化透明度与问责的法律要求： 法律需要进一步明确，在那些影响人生关键决策的场景——比如贷款被拒、求职失败——运营方有义务提供清晰的解释。这不仅仅是提供一个分数，而是需要说明决策的主要逻辑、依据的关键数据点，以及一条切实可行的申诉路径。同时，法律必须厘清当算法造成损害时，背后开发者、部署者、使用者的责任如何划分，让问责真正有法可依，而不再迷失在技术的迷宫之中。</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4.3 伦理建设维度：培育负责任的创新文化与人才</w:t>
      </w:r>
    </w:p>
    <w:p>
      <w:pPr>
        <w:ind w:firstLine="420" w:firstLineChars="0"/>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法规与技术是外在的护栏，但真正的变革，始于内在的“罗盘”。我们需要在所有构建和运用技术的地方，培育一种将责任刻入创新基因的文化</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·在组织内设立多学科伦理委员会： 科技公司、研究机构乃至采用算法的政府部门，应当设立常设的、多元的伦理委员会。其成员绝不能仅仅是工程师，必须广泛纳入伦理学家、律师、社会学家以及特定领域（如医疗、司法）的专家。这个委员会不能是花瓶，它应在项目关键节点握有实质性的审查权，对存在重大伦理风险的项目拥有一票否决的底气，并成为处理相关公众质疑的核心枢纽。</w:t>
      </w:r>
    </w:p>
    <w:p>
      <w:pPr>
        <w:rPr>
          <w:rFonts w:hint="default" w:ascii="Times New Roman" w:hAnsi="Times New Roman" w:eastAsia="宋体" w:cs="Times New Roman"/>
          <w:strike w:val="0"/>
          <w:dstrike w:val="0"/>
          <w:color w:val="auto"/>
          <w:sz w:val="24"/>
          <w:highlight w:val="none"/>
          <w:u w:val="none"/>
          <w:shd w:val="clear" w:color="auto" w:fill="auto"/>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·推动计算机工程教育的根本性改革： 我们今天在课堂里教什么，决定了明天世界的样子。计算机科学与工程的教育亟需一场深刻的改革。必须将《人工智能伦理》、《科技与社会》这类课程设置为所有专业学生的必修核心课。教学方式要从枯燥的理论灌输，转向基于真实困境的案例研讨、角色扮演和跨学科项目。我们的目标，不应再是培养只懂写代码的“工匠”，而是那些同时具备精湛技术、伦理洞察与社会责任感的“建筑师”。</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塑造全行业的负责任创新文化：行业组织应当牵头，制定比法律条文更具体、更具操作性的伦理准则与最佳实践手册。鼓励乃至要求领先企业定期发布“AI责任报告”，坦诚公开其在公平性、透明度等方面的进展、挑战与失败案例。通过设立责任创新奖项、举办专题峰会，去表彰那些将社会价值与商业成功融合的典范。最终，引导整个行业的竞争，从单纯比拼模型精度和流量，升级为包含技术向善在内的综合实力竞赛。说到底，一个好的市场，应该让负责任的企业脱颖而出。</w:t>
      </w:r>
    </w:p>
    <w:p>
      <w:pPr>
        <w:rPr>
          <w:rFonts w:hint="default" w:ascii="Times New Roman" w:hAnsi="Times New Roman" w:eastAsia="宋体" w:cs="Times New Roman"/>
          <w:b/>
          <w:bCs/>
          <w:color w:val="auto"/>
          <w:sz w:val="24"/>
          <w:highlight w:val="none"/>
        </w:rPr>
      </w:pPr>
      <w:r>
        <w:rPr>
          <w:rFonts w:hint="default" w:ascii="Times New Roman" w:hAnsi="Times New Roman" w:eastAsia="宋体" w:cs="Times New Roman"/>
          <w:b/>
          <w:bCs/>
          <w:strike w:val="0"/>
          <w:dstrike w:val="0"/>
          <w:color w:val="auto"/>
          <w:sz w:val="24"/>
          <w:highlight w:val="none"/>
          <w:u w:val="none"/>
          <w:shd w:val="clear" w:color="auto" w:fill="auto"/>
        </w:rPr>
        <w:t>4.4 迈向多元协同的生态系统治理</w:t>
      </w:r>
    </w:p>
    <w:p>
      <w:pPr>
        <w:ind w:firstLine="420"/>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算法偏见的治理，绝非政府、企业或学界任何一方能独立完成的壮举。它需要构建一个政府引导、企业主责、学术支撑、公众参与、媒体监督的多元协同治理生态系统。</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·政府是规则制定者与底线守护者，通过立法、标准创造公平竞争环境。</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·企业是直接责任主体，必须将伦理与治理要求内化于公司治理和产品流程。</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·学术界提供前沿知识、评估工具和批判性思考，是连接创新与应用的桥梁。</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·公民社会（用户、社区组织、公益机构）是重要的制衡与监督力量，推动算法公平成为公共议题。</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ab/>
      </w:r>
      <w:r>
        <w:rPr>
          <w:rFonts w:hint="default" w:ascii="Times New Roman" w:hAnsi="Times New Roman" w:eastAsia="宋体" w:cs="Times New Roman"/>
          <w:strike w:val="0"/>
          <w:dstrike w:val="0"/>
          <w:color w:val="auto"/>
          <w:sz w:val="24"/>
          <w:highlight w:val="none"/>
          <w:u w:val="none"/>
          <w:shd w:val="clear" w:color="auto" w:fill="auto"/>
        </w:rPr>
        <w:t>·媒体则承担着传播知识、调查监督、促进公共讨论的关键角色。</w:t>
      </w:r>
    </w:p>
    <w:p>
      <w:pPr>
        <w:rPr>
          <w:rFonts w:hint="default" w:ascii="Times New Roman" w:hAnsi="Times New Roman" w:eastAsia="宋体" w:cs="Times New Roman"/>
          <w:color w:val="auto"/>
          <w:sz w:val="24"/>
          <w:highlight w:val="none"/>
        </w:rPr>
      </w:pPr>
      <w:r>
        <w:rPr>
          <w:rFonts w:hint="default" w:ascii="Times New Roman" w:hAnsi="Times New Roman" w:eastAsia="宋体" w:cs="Times New Roman"/>
          <w:strike w:val="0"/>
          <w:dstrike w:val="0"/>
          <w:color w:val="auto"/>
          <w:sz w:val="24"/>
          <w:highlight w:val="none"/>
          <w:u w:val="none"/>
          <w:shd w:val="clear" w:color="auto" w:fill="auto"/>
        </w:rPr>
        <w:t>这个生态系统的有效运转，依赖于各行动者之间持续的对话、协商与协作。其最终愿景，是让人工智能这项强大的工程技术，真正服务于增进社会福祉、促进公平正义的根本目的，实现工程进步与社会发展的良性循环。</w:t>
      </w:r>
    </w:p>
    <w:p>
      <w:pPr>
        <w:rPr>
          <w:rFonts w:hint="default" w:ascii="Times New Roman" w:hAnsi="Times New Roman" w:eastAsia="宋体" w:cs="Times New Roman"/>
          <w:b/>
          <w:bCs/>
          <w:sz w:val="24"/>
          <w:highlight w:val="none"/>
        </w:rPr>
      </w:pPr>
      <w:r>
        <w:rPr>
          <w:rFonts w:hint="default" w:ascii="Times New Roman" w:hAnsi="Times New Roman" w:eastAsia="宋体" w:cs="Times New Roman"/>
          <w:b/>
          <w:bCs/>
          <w:strike w:val="0"/>
          <w:dstrike w:val="0"/>
          <w:color w:val="000000"/>
          <w:sz w:val="24"/>
          <w:highlight w:val="none"/>
          <w:u w:val="none"/>
          <w:shd w:val="clear" w:color="auto" w:fill="auto"/>
        </w:rPr>
        <w:t>五、结论</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我们试图透过“工程”与“社会”互动的镜头来审视算法偏见，一些核心的图景逐渐清晰起来。或许，我们可以这样总结我们的观察：</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第一，算法偏见远非一个技术“故障”。 我们得看到，它本质上是一个扎根于现实的社会技术复合体。它更像是社会历史中那些长期存在的不平等、文化刻板印象和隐形权力结构，在数字时代找到了新的载体。通过“数据化”和“算法化”，这些旧问题被重新编码，进而在系统中获得自动化的执行与强化。因此，治理偏见，必须摒弃技术可以“自我净化”的幻想，也不能指望仅靠法律条文就能根治。这需要我们对整个社会技术系统进行干预。</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第二，它已从理论论文走入现实生活，正在悄悄重塑社会。 从法庭到招聘会，从银行贷款到商业推荐，带有偏见的算法如同一个隐形的裁判，进行着规模化、自动化且常常不为人知的“社会排序”。它不仅复制过去的歧视，更可能利用我们全新的数字足迹，创造出前所未有的排斥形式——比如，基于你的消费习惯来评估你的信用或能力。这正在持续地侵蚀社会公平的基石。</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我们该怎么办？ 有效的应对之道，或许在于技术、法规与伦理三者的协同。</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w:t>
      </w:r>
      <w:r>
        <w:rPr>
          <w:rFonts w:hint="default" w:ascii="Times New Roman" w:hAnsi="Times New Roman" w:eastAsia="宋体" w:cs="Times New Roman"/>
          <w:sz w:val="24"/>
          <w:szCs w:val="24"/>
          <w:highlight w:val="none"/>
        </w:rPr>
        <w:t>技术矫正</w:t>
      </w:r>
      <w:r>
        <w:rPr>
          <w:rFonts w:hint="default" w:ascii="Times New Roman" w:hAnsi="Times New Roman" w:eastAsia="宋体" w:cs="Times New Roman"/>
          <w:sz w:val="24"/>
          <w:szCs w:val="24"/>
          <w:highlight w:val="none"/>
          <w:lang w:eastAsia="zh-CN"/>
        </w:rPr>
        <w:t>：</w:t>
      </w:r>
      <w:r>
        <w:rPr>
          <w:rFonts w:hint="default" w:ascii="Times New Roman" w:hAnsi="Times New Roman" w:eastAsia="宋体" w:cs="Times New Roman"/>
          <w:sz w:val="24"/>
          <w:szCs w:val="24"/>
          <w:highlight w:val="none"/>
        </w:rPr>
        <w:t>像是在系统内部安装“免疫机制”与“透明窗口”，让公平成为设计的起点，而不仅是事后的修补。</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w:t>
      </w:r>
      <w:r>
        <w:rPr>
          <w:rFonts w:hint="default" w:ascii="Times New Roman" w:hAnsi="Times New Roman" w:eastAsia="宋体" w:cs="Times New Roman"/>
          <w:sz w:val="24"/>
          <w:szCs w:val="24"/>
          <w:highlight w:val="none"/>
        </w:rPr>
        <w:t>法规监管</w:t>
      </w:r>
      <w:r>
        <w:rPr>
          <w:rFonts w:hint="default" w:ascii="Times New Roman" w:hAnsi="Times New Roman" w:eastAsia="宋体" w:cs="Times New Roman"/>
          <w:sz w:val="24"/>
          <w:szCs w:val="24"/>
          <w:highlight w:val="none"/>
          <w:lang w:eastAsia="zh-CN"/>
        </w:rPr>
        <w:t>：</w:t>
      </w:r>
      <w:r>
        <w:rPr>
          <w:rFonts w:hint="default" w:ascii="Times New Roman" w:hAnsi="Times New Roman" w:eastAsia="宋体" w:cs="Times New Roman"/>
          <w:sz w:val="24"/>
          <w:szCs w:val="24"/>
          <w:highlight w:val="none"/>
        </w:rPr>
        <w:t>则像是铺设轨道和设置信号灯，从外部划定红线，建立清晰的问责路径，确保当损害发生时，有人必须负责。</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lang w:val="en-US" w:eastAsia="zh-CN"/>
        </w:rPr>
        <w:t>·</w:t>
      </w:r>
      <w:r>
        <w:rPr>
          <w:rFonts w:hint="default" w:ascii="Times New Roman" w:hAnsi="Times New Roman" w:eastAsia="宋体" w:cs="Times New Roman"/>
          <w:sz w:val="24"/>
          <w:szCs w:val="24"/>
          <w:highlight w:val="none"/>
        </w:rPr>
        <w:t>伦理建设</w:t>
      </w:r>
      <w:r>
        <w:rPr>
          <w:rFonts w:hint="default" w:ascii="Times New Roman" w:hAnsi="Times New Roman" w:eastAsia="宋体" w:cs="Times New Roman"/>
          <w:sz w:val="24"/>
          <w:szCs w:val="24"/>
          <w:highlight w:val="none"/>
          <w:lang w:eastAsia="zh-CN"/>
        </w:rPr>
        <w:t>：</w:t>
      </w:r>
      <w:r>
        <w:rPr>
          <w:rFonts w:hint="default" w:ascii="Times New Roman" w:hAnsi="Times New Roman" w:eastAsia="宋体" w:cs="Times New Roman"/>
          <w:sz w:val="24"/>
          <w:szCs w:val="24"/>
          <w:highlight w:val="none"/>
        </w:rPr>
        <w:t>则是要塑造所有参与者的内在“罗盘”，从教育开始，培养一种将社会责任置于创新核心的文化。</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三者环环相扣，构成一个从预防到补救的治理闭环。</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最终，没有谁能独自解决这个问题。 政府、企业、学界、媒体和每一位公民，都需要成为这个生态系统中的行动者。只有通过持续的对话、监督与协作，我们才有可能将公平、公正的价值，真正编织进人工智能从构思到落地的每一个环节。</w:t>
      </w:r>
    </w:p>
    <w:p>
      <w:pPr>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研究的局限与未来的路</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当然，这项研究远非完美。例如，对于算法偏见在中国教育、社保等更具体领域是如何微妙呈现的，我们的案例挖掘还可以更深。再比如，“公平”这个概念本身，在不同文化语境下究竟意味着什么？如何衡量？这些讨论仍有巨大的探索空间。我们所提出的治理框架，其实际效果如何，也需要未来更多的政策试点和实证评估来检验。</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展望未来，几个方向或许值得继续探索：我们能否开发出更贴合中国社会现实的公平性评估工具？能否在某个城市或行业，真正试点运行一套“算法影响评估”与“公众参与设计”相结合的流程，看看会碰撞出什么火花？同时，全球范围内关于算法治理的规则博弈正在上演，中国如何参与并贡献智慧，这也是一个至关重要的命题。</w:t>
      </w:r>
    </w:p>
    <w:p>
      <w:pPr>
        <w:ind w:firstLine="420" w:firstLineChars="0"/>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作为一名即将踏入行业的计算机专业学生，这项研究给我最深的触动是：技术从来都不是，也永远不应是价值中立的。 我们写下的每一行代码，设计的每一个模型，都在悄然参与塑造未来的社会。在追求效率与智能的狂热中，保持一份对社会价值的清醒审视和对权力效应的本能警惕，或许是我们这一代工程师最重要的职业素养。我们肩负的，不止是构建智能系统的技术使命，更是确保技术增进人类福祉、促进社会公平的伦理使命。怀揣这种“工程师-社会学家”的双重自觉，我们或许才能更好地驾驭浪潮，共同迈向一个更公正、更包容的智能未来。</w:t>
      </w:r>
    </w:p>
    <w:p>
      <w:pPr>
        <w:rPr>
          <w:rFonts w:hint="default" w:ascii="Times New Roman" w:hAnsi="Times New Roman" w:eastAsia="宋体" w:cs="Times New Roman"/>
          <w:sz w:val="24"/>
          <w:szCs w:val="24"/>
          <w:highlight w:val="none"/>
        </w:rPr>
      </w:pPr>
    </w:p>
    <w:p>
      <w:pPr>
        <w:rPr>
          <w:rFonts w:hint="eastAsia"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参考文献：</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[1]贾诗威，闫慧. 算法偏见概念、哲理基础与后果的系统回顾[J]. 中国图书馆学报， 2022, 48(6): 57-76.</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"http://www.jlis.cn/jtlsc/ch/reader/view_abstract.aspx?file_no=20220607&amp;flag=1"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[2]顾昕，郭凤林. 算法偏误的公共治理：政府、市场与社会协作互动之道[J]. 学术月刊， 2025(10).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"https://www.aisixiang.com/data/168579.html"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[3]贾诗威. 当算法带上“有色眼镜”，我们该如何判别和应对[EB/OL]. (2025-12-04). 中国人民大学智慧治理学院.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"http://sids.ruc.edu.cn/rdjcpl/dyq/cxdj_2/b22767c997f545bb81258d3b68de0ccb.htm"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[4]徐爱钰，陈从显. 人工智能赋能美好生活：伦理风险、价值遵循和规制路径[J]. 山东行政学院学报， 2025(06).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"https://sdxb.cbpt.cnki.net/portal"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[5]胡神松，王若宇. 人工智能驱动健康传播的法治保障研究——基于公平与伦理权衡视角[J]. 海南师范大学学报(社会科学版)， 2025(04): 132-140.</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"https://expert.hbskw.com/hbskl-mobile/item/itemDetail/346036.shtml"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[6]算法公平的类型构建与制度实现[J]. 中外法学， 2024, 36(04).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"https://bianke.cnki.net/Web/SearchArticle?kw=%E7%AE%97%E6%B3%95%E5%85%AC%E5%B9%B3"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[7]人工智能时代算法性别歧视的类型界分与公平治理[J]. 妇女研究论丛， 2022(03).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"https://bianke.cnki.net/Web/SearchArticle?kw=%E7%AE%97%E6%B3%95%E5%85%AC%E5%B9%B3"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[8]平台算法下的新就业群体劳动主体性消解与重构[J]. 山东行政学院学报， 2025(06).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"https://sdxb.cbpt.cnki.net/portal"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[9]政府数字治理中的算法风险及其规避路径[J]. 山东行政学院学报， 2025(06). </w:t>
      </w:r>
      <w:r>
        <w:rPr>
          <w:rFonts w:hint="eastAsia" w:ascii="Times New Roman" w:hAnsi="Times New Roman" w:eastAsia="宋体" w:cs="Times New Roman"/>
          <w:sz w:val="24"/>
          <w:szCs w:val="24"/>
          <w:highlight w:val="none"/>
          <w:lang w:val="en-US" w:eastAsia="zh-CN"/>
        </w:rPr>
        <w:fldChar w:fldCharType="begin"/>
      </w:r>
      <w:r>
        <w:rPr>
          <w:rFonts w:hint="eastAsia" w:ascii="Times New Roman" w:hAnsi="Times New Roman" w:eastAsia="宋体" w:cs="Times New Roman"/>
          <w:sz w:val="24"/>
          <w:szCs w:val="24"/>
          <w:highlight w:val="none"/>
          <w:lang w:val="en-US" w:eastAsia="zh-CN"/>
        </w:rPr>
        <w:instrText xml:space="preserve"> HYPERLINK "https://sdxb.cbpt.cnki.net/portal" \t "https://chat.deepseek.com/a/chat/s/_blank" </w:instrText>
      </w:r>
      <w:r>
        <w:rPr>
          <w:rFonts w:hint="eastAsia" w:ascii="Times New Roman" w:hAnsi="Times New Roman" w:eastAsia="宋体" w:cs="Times New Roman"/>
          <w:sz w:val="24"/>
          <w:szCs w:val="24"/>
          <w:highlight w:val="none"/>
          <w:lang w:val="en-US" w:eastAsia="zh-CN"/>
        </w:rPr>
        <w:fldChar w:fldCharType="separate"/>
      </w:r>
      <w:r>
        <w:rPr>
          <w:rFonts w:hint="eastAsia" w:ascii="Times New Roman" w:hAnsi="Times New Roman" w:eastAsia="宋体" w:cs="Times New Roman"/>
          <w:sz w:val="24"/>
          <w:szCs w:val="24"/>
          <w:highlight w:val="none"/>
          <w:lang w:val="en-US" w:eastAsia="zh-CN"/>
        </w:rPr>
        <w:fldChar w:fldCharType="end"/>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[10]从公示到透明：算法公平的风险挑战与治理路径[J]. 暨南学报(哲学社会科学版)， 2023, 45(09). </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[11]Angwin, J., Larson, J., Mattu, S., &amp; Kirchner, L. (2016). Machine Bias: There's software used across the country to predict future criminals. And it's biased against blacks. ProPublica.</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[12]Bender, E. M., Gebru, T., McMillan-Major, A., &amp; Shmitchell, S. (2021). On the Dangers of Stochastic Parrots: Can Language Models Be Too Big? . In Proceedings of the 2021 ACM Conference on Fairness, Accountability, and Transparency (FAccT '21). 610–623.</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[13]Dastin, J. (2018, October 10). Amazon scraps secret AI recruiting tool that showed bias against women. Reuters.</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[14]Meyer, M., Cointet, J.-P., &amp; Venturini, T. (2019). Platforms as laboratories of the social. In Proceedings of the 10th International Conference on Social Informatics (SocInfo 2018). 421-437.</w:t>
      </w:r>
    </w:p>
    <w:p>
      <w:pPr>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[15]Stanford University Human-Centered Artificial Intelligence. (2023). Artificial Intelligence Index Report 2023. Stanford, CA: Author.</w:t>
      </w:r>
    </w:p>
    <w:p>
      <w:pPr>
        <w:rPr>
          <w:rFonts w:hint="eastAsia" w:ascii="Times New Roman" w:hAnsi="Times New Roman" w:eastAsia="宋体" w:cs="Times New Roman"/>
          <w:sz w:val="24"/>
          <w:szCs w:val="24"/>
          <w:highlight w:val="none"/>
          <w:lang w:val="en-US" w:eastAsia="zh-CN"/>
        </w:rPr>
      </w:pPr>
      <w:r>
        <w:rPr>
          <w:rFonts w:ascii="宋体" w:hAnsi="宋体" w:eastAsia="宋体" w:cs="宋体"/>
          <w:sz w:val="24"/>
          <w:szCs w:val="24"/>
        </w:rPr>
        <w:drawing>
          <wp:inline distT="0" distB="0" distL="114300" distR="114300">
            <wp:extent cx="5191125" cy="7334250"/>
            <wp:effectExtent l="0" t="0" r="5715" b="114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5191125" cy="733425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wMjAyMTNkMjI3YzcyODExZWRiOGNmNzE5M2E5ODUifQ=="/>
  </w:docVars>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A95332"/>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3363C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2027CC"/>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栀</cp:lastModifiedBy>
  <dcterms:modified xsi:type="dcterms:W3CDTF">2025-12-29T05:41:09Z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0A67B575A3724969BF45BF071A9D01FF_13</vt:lpwstr>
  </property>
  <property fmtid="{D5CDD505-2E9C-101B-9397-08002B2CF9AE}" pid="4" name="KSOTemplateDocerSaveRecord">
    <vt:lpwstr>eyJoZGlkIjoiYjkyZmNhZmMwYTRkMzdjNDc0ZDBiODA4ZTNmNjg2YzYiLCJ1c2VySWQiOiIxNTMxNjQwNzA0In0=</vt:lpwstr>
  </property>
</Properties>
</file>