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8703A"/>
          <w:spacing w:val="60"/>
          <w:sz w:val="20"/>
          <w:szCs w:val="20"/>
        </w:rPr>
        <w:t xml:space="preserve">RENTRE</w:t>
      </w:r>
    </w:p>
    <w:p>
      <w:pPr>
        <w:spacing w:after="80"/>
      </w:pPr>
      <w:r>
        <w:rPr>
          <w:b/>
          <w:bCs/>
          <w:color w:val="16261D"/>
          <w:sz w:val="48"/>
          <w:szCs w:val="48"/>
        </w:rPr>
        <w:t xml:space="preserve">Project Status Report</w:t>
      </w:r>
    </w:p>
    <w:p>
      <w:pPr>
        <w:pBdr>
          <w:bottom w:val="single" w:color="16261D" w:sz="12" w:space="8"/>
        </w:pBdr>
        <w:spacing w:after="240"/>
      </w:pPr>
      <w:r>
        <w:rPr>
          <w:color w:val="5F6B63"/>
        </w:rPr>
        <w:t xml:space="preserve">Current status, remaining work, and credentials needed  ·  3 October 2026</w:t>
      </w:r>
    </w:p>
    <w:p>
      <w:pPr>
        <w:pStyle w:val="Heading1"/>
      </w:pPr>
      <w:r>
        <w:t xml:space="preserve">Summary</w:t>
      </w:r>
    </w:p>
    <w:p>
      <w:pPr>
        <w:spacing w:after="120"/>
      </w:pPr>
      <w:r>
        <w:t xml:space="preserve">Rentre is a working prototype. The front end is based on the Figma export and mostly runs on sample (mock) data. Behind it is a real server that already handles sign-in, sharing a Renter Passport by email, lease signing, and AI phone calls for references and interviews. The main remaining work is the landlord side, connecting the remaining screens to real data, payments, and moving to production. Several third-party accounts are needed from the client before those pieces can go live.</w:t>
      </w:r>
    </w:p>
    <w:p>
      <w:pPr>
        <w:pStyle w:val="Heading1"/>
      </w:pPr>
      <w:r>
        <w:t xml:space="preserve">Built so far</w:t>
      </w:r>
    </w:p>
    <w:p>
      <w:pPr>
        <w:pStyle w:val="ListParagraph"/>
        <w:numPr>
          <w:ilvl w:val="0"/>
          <w:numId w:val="2"/>
        </w:numPr>
        <w:spacing w:after="60"/>
      </w:pPr>
      <w:r>
        <w:rPr>
          <w:b/>
          <w:bCs/>
        </w:rPr>
        <w:t xml:space="preserve">Email-code sign-in.</w:t>
      </w:r>
      <w:r>
        <w:t xml:space="preserve"> Renters sign in with a 6-digit code emailed to them. Codes expire after 10 minutes, work once, and lock after 5 wrong tries.</w:t>
      </w:r>
    </w:p>
    <w:p>
      <w:pPr>
        <w:pStyle w:val="ListParagraph"/>
        <w:numPr>
          <w:ilvl w:val="0"/>
          <w:numId w:val="2"/>
        </w:numPr>
        <w:spacing w:after="60"/>
      </w:pPr>
      <w:r>
        <w:rPr>
          <w:b/>
          <w:bCs/>
        </w:rPr>
        <w:t xml:space="preserve">Renter Passport sharing.</w:t>
      </w:r>
    </w:p>
    <w:p>
      <w:pPr>
        <w:pStyle w:val="ListParagraph"/>
        <w:numPr>
          <w:ilvl w:val="1"/>
          <w:numId w:val="2"/>
        </w:numPr>
        <w:spacing w:after="60"/>
      </w:pPr>
      <w:r>
        <w:t xml:space="preserve">Renters email their passport to a landlord from the app.</w:t>
      </w:r>
    </w:p>
    <w:p>
      <w:pPr>
        <w:pStyle w:val="ListParagraph"/>
        <w:numPr>
          <w:ilvl w:val="1"/>
          <w:numId w:val="2"/>
        </w:numPr>
        <w:spacing w:after="60"/>
      </w:pPr>
      <w:r>
        <w:t xml:space="preserve">The landlord opens it as a web page that follows the approved passport design, with no account needed.</w:t>
      </w:r>
    </w:p>
    <w:p>
      <w:pPr>
        <w:pStyle w:val="ListParagraph"/>
        <w:numPr>
          <w:ilvl w:val="1"/>
          <w:numId w:val="2"/>
        </w:numPr>
        <w:spacing w:after="60"/>
      </w:pPr>
      <w:r>
        <w:t xml:space="preserve">The landlord can download it as a one-page PDF.</w:t>
      </w:r>
    </w:p>
    <w:p>
      <w:pPr>
        <w:pStyle w:val="ListParagraph"/>
        <w:numPr>
          <w:ilvl w:val="1"/>
          <w:numId w:val="2"/>
        </w:numPr>
        <w:spacing w:after="60"/>
      </w:pPr>
      <w:r>
        <w:t xml:space="preserve">Links expire after 30 days, and reference phone numbers stay hidden.</w:t>
      </w:r>
    </w:p>
    <w:p>
      <w:pPr>
        <w:pStyle w:val="ListParagraph"/>
        <w:numPr>
          <w:ilvl w:val="0"/>
          <w:numId w:val="2"/>
        </w:numPr>
        <w:spacing w:after="60"/>
      </w:pPr>
      <w:r>
        <w:rPr>
          <w:b/>
          <w:bCs/>
        </w:rPr>
        <w:t xml:space="preserve">In-app lease signing.</w:t>
      </w:r>
      <w:r>
        <w:t xml:space="preserve"> The landlord signs and sends a lease; the tenant reviews and signs it from an emailed link. Both parties get a confirmation email with a fingerprint of the signed document, so any later change is detectable.</w:t>
      </w:r>
    </w:p>
    <w:p>
      <w:pPr>
        <w:pStyle w:val="ListParagraph"/>
        <w:numPr>
          <w:ilvl w:val="0"/>
          <w:numId w:val="2"/>
        </w:numPr>
        <w:spacing w:after="60"/>
      </w:pPr>
      <w:r>
        <w:rPr>
          <w:b/>
          <w:bCs/>
        </w:rPr>
        <w:t xml:space="preserve">AI reference calls and tenant interviews (ElevenLabs).</w:t>
      </w:r>
      <w:r>
        <w:t xml:space="preserve"> The tenant opts in, the landlord requests the call, and the summary and transcript come back to the landlord. Built, but not yet connected to an ElevenLabs account.</w:t>
      </w:r>
    </w:p>
    <w:p>
      <w:pPr>
        <w:pStyle w:val="ListParagraph"/>
        <w:numPr>
          <w:ilvl w:val="0"/>
          <w:numId w:val="2"/>
        </w:numPr>
        <w:spacing w:after="60"/>
      </w:pPr>
      <w:r>
        <w:rPr>
          <w:b/>
          <w:bCs/>
        </w:rPr>
        <w:t xml:space="preserve">Brand and design.</w:t>
      </w:r>
      <w:r>
        <w:t xml:space="preserve"> The latest Figma export has been adopted and the colours updated to the brand green (#16261D) and orange (#E8703A).</w:t>
      </w:r>
    </w:p>
    <w:p>
      <w:pPr>
        <w:pStyle w:val="ListParagraph"/>
        <w:numPr>
          <w:ilvl w:val="0"/>
          <w:numId w:val="2"/>
        </w:numPr>
        <w:spacing w:after="60"/>
      </w:pPr>
      <w:r>
        <w:rPr>
          <w:b/>
          <w:bCs/>
        </w:rPr>
        <w:t xml:space="preserve">Quality.</w:t>
      </w:r>
      <w:r>
        <w:t xml:space="preserve"> Automated server tests and type checks pass; the sign-in, passport and lease flows were tested end to end with real emails.</w:t>
      </w:r>
    </w:p>
    <w:p>
      <w:pPr>
        <w:pStyle w:val="Heading1"/>
      </w:pPr>
      <w:r>
        <w:t xml:space="preserve">Still to finish</w:t>
      </w:r>
    </w:p>
    <w:p>
      <w:pPr>
        <w:pStyle w:val="Heading2"/>
      </w:pPr>
      <w:r>
        <w:t xml:space="preserve">1. Landlord side</w:t>
      </w:r>
    </w:p>
    <w:p>
      <w:pPr>
        <w:pStyle w:val="ListParagraph"/>
        <w:numPr>
          <w:ilvl w:val="0"/>
          <w:numId w:val="2"/>
        </w:numPr>
        <w:spacing w:after="60"/>
      </w:pPr>
      <w:r>
        <w:t xml:space="preserve">Landlords cannot sign in yet.</w:t>
      </w:r>
    </w:p>
    <w:p>
      <w:pPr>
        <w:pStyle w:val="ListParagraph"/>
        <w:numPr>
          <w:ilvl w:val="0"/>
          <w:numId w:val="2"/>
        </w:numPr>
        <w:spacing w:after="60"/>
      </w:pPr>
      <w:r>
        <w:t xml:space="preserve">The landlord screens still show sample data: applications, landlord portal, and CRM.</w:t>
      </w:r>
    </w:p>
    <w:p>
      <w:pPr>
        <w:pStyle w:val="Heading2"/>
      </w:pPr>
      <w:r>
        <w:t xml:space="preserve">2. Tenant applications</w:t>
      </w:r>
    </w:p>
    <w:p>
      <w:pPr>
        <w:pStyle w:val="ListParagraph"/>
        <w:numPr>
          <w:ilvl w:val="0"/>
          <w:numId w:val="2"/>
        </w:numPr>
        <w:spacing w:after="60"/>
      </w:pPr>
      <w:r>
        <w:t xml:space="preserve">Applying to a listing is not yet connected to the server.</w:t>
      </w:r>
    </w:p>
    <w:p>
      <w:pPr>
        <w:pStyle w:val="Heading2"/>
      </w:pPr>
      <w:r>
        <w:t xml:space="preserve">3. Passport actions</w:t>
      </w:r>
    </w:p>
    <w:p>
      <w:pPr>
        <w:spacing w:after="120"/>
      </w:pPr>
      <w:r>
        <w:t xml:space="preserve">These buttons on the shared passport currently show “Coming soon”:</w:t>
      </w:r>
    </w:p>
    <w:p>
      <w:pPr>
        <w:pStyle w:val="ListParagraph"/>
        <w:numPr>
          <w:ilvl w:val="0"/>
          <w:numId w:val="2"/>
        </w:numPr>
        <w:spacing w:after="60"/>
      </w:pPr>
      <w:r>
        <w:t xml:space="preserve">Order a reference call</w:t>
      </w:r>
    </w:p>
    <w:p>
      <w:pPr>
        <w:pStyle w:val="ListParagraph"/>
        <w:numPr>
          <w:ilvl w:val="0"/>
          <w:numId w:val="2"/>
        </w:numPr>
        <w:spacing w:after="60"/>
      </w:pPr>
      <w:r>
        <w:t xml:space="preserve">Order a background check</w:t>
      </w:r>
    </w:p>
    <w:p>
      <w:pPr>
        <w:pStyle w:val="ListParagraph"/>
        <w:numPr>
          <w:ilvl w:val="0"/>
          <w:numId w:val="2"/>
        </w:numPr>
        <w:spacing w:after="60"/>
      </w:pPr>
      <w:r>
        <w:t xml:space="preserve">Send a lease to sign</w:t>
      </w:r>
    </w:p>
    <w:p>
      <w:pPr>
        <w:spacing w:after="120"/>
      </w:pPr>
      <w:r>
        <w:t xml:space="preserve">The reference-call and lease features also need re-pointing so they start from a shared passport rather than an application.</w:t>
      </w:r>
    </w:p>
    <w:p>
      <w:pPr>
        <w:pStyle w:val="Heading2"/>
      </w:pPr>
      <w:r>
        <w:t xml:space="preserve">4. Onboarding</w:t>
      </w:r>
    </w:p>
    <w:p>
      <w:pPr>
        <w:spacing w:after="120"/>
      </w:pPr>
      <w:r>
        <w:t xml:space="preserve">Onboarding currently collects about a third of the information shown on the passport. Still missing:</w:t>
      </w:r>
    </w:p>
    <w:p>
      <w:pPr>
        <w:pStyle w:val="ListParagraph"/>
        <w:numPr>
          <w:ilvl w:val="0"/>
          <w:numId w:val="2"/>
        </w:numPr>
        <w:spacing w:after="60"/>
      </w:pPr>
      <w:r>
        <w:t xml:space="preserve">Identity details</w:t>
      </w:r>
    </w:p>
    <w:p>
      <w:pPr>
        <w:pStyle w:val="ListParagraph"/>
        <w:numPr>
          <w:ilvl w:val="0"/>
          <w:numId w:val="2"/>
        </w:numPr>
        <w:spacing w:after="60"/>
      </w:pPr>
      <w:r>
        <w:t xml:space="preserve">Household information (occupants, pets, smoking, vehicle, insurance, emergency contact)</w:t>
      </w:r>
    </w:p>
    <w:p>
      <w:pPr>
        <w:pStyle w:val="ListParagraph"/>
        <w:numPr>
          <w:ilvl w:val="0"/>
          <w:numId w:val="2"/>
        </w:numPr>
        <w:spacing w:after="60"/>
      </w:pPr>
      <w:r>
        <w:t xml:space="preserve">Guarantor details</w:t>
      </w:r>
    </w:p>
    <w:p>
      <w:pPr>
        <w:pStyle w:val="ListParagraph"/>
        <w:numPr>
          <w:ilvl w:val="0"/>
          <w:numId w:val="2"/>
        </w:numPr>
        <w:spacing w:after="60"/>
      </w:pPr>
      <w:r>
        <w:t xml:space="preserve">Full rental history (previous address and dates, eviction and bankruptcy questions)</w:t>
      </w:r>
    </w:p>
    <w:p>
      <w:pPr>
        <w:pStyle w:val="ListParagraph"/>
        <w:numPr>
          <w:ilvl w:val="0"/>
          <w:numId w:val="2"/>
        </w:numPr>
        <w:spacing w:after="60"/>
      </w:pPr>
      <w:r>
        <w:t xml:space="preserve">Consents</w:t>
      </w:r>
    </w:p>
    <w:p>
      <w:pPr>
        <w:pStyle w:val="ListParagraph"/>
        <w:numPr>
          <w:ilvl w:val="0"/>
          <w:numId w:val="2"/>
        </w:numPr>
        <w:spacing w:after="60"/>
      </w:pPr>
      <w:r>
        <w:t xml:space="preserve">The final “true and complete” declaration</w:t>
      </w:r>
    </w:p>
    <w:p>
      <w:pPr>
        <w:pStyle w:val="Heading2"/>
      </w:pPr>
      <w:r>
        <w:t xml:space="preserve">5. Documents</w:t>
      </w:r>
    </w:p>
    <w:p>
      <w:pPr>
        <w:pStyle w:val="ListParagraph"/>
        <w:numPr>
          <w:ilvl w:val="0"/>
          <w:numId w:val="2"/>
        </w:numPr>
        <w:spacing w:after="60"/>
      </w:pPr>
      <w:r>
        <w:t xml:space="preserve">Uploads currently record only the file name; the files themselves are not stored yet.</w:t>
      </w:r>
    </w:p>
    <w:p>
      <w:pPr>
        <w:pStyle w:val="Heading2"/>
      </w:pPr>
      <w:r>
        <w:t xml:space="preserve">6. Background report and ID check</w:t>
      </w:r>
    </w:p>
    <w:p>
      <w:pPr>
        <w:pStyle w:val="ListParagraph"/>
        <w:numPr>
          <w:ilvl w:val="0"/>
          <w:numId w:val="2"/>
        </w:numPr>
        <w:spacing w:after="60"/>
      </w:pPr>
      <w:r>
        <w:t xml:space="preserve">Placeholder only. A provider still needs to be chosen: Certn, SingleKey, or Stripe Identity.</w:t>
      </w:r>
    </w:p>
    <w:p>
      <w:pPr>
        <w:pStyle w:val="Heading2"/>
      </w:pPr>
      <w:r>
        <w:t xml:space="preserve">7. Payments</w:t>
      </w:r>
    </w:p>
    <w:p>
      <w:pPr>
        <w:spacing w:after="120"/>
      </w:pPr>
      <w:r>
        <w:t xml:space="preserve">No payment flow is built yet for the paid features:</w:t>
      </w:r>
    </w:p>
    <w:p>
      <w:pPr>
        <w:pStyle w:val="ListParagraph"/>
        <w:numPr>
          <w:ilvl w:val="0"/>
          <w:numId w:val="2"/>
        </w:numPr>
        <w:spacing w:after="60"/>
      </w:pPr>
      <w:r>
        <w:rPr>
          <w:b/>
          <w:bCs/>
        </w:rPr>
        <w:t xml:space="preserve">Reference call:</w:t>
      </w:r>
      <w:r>
        <w:t xml:space="preserve"> $5 per reference (first one free in beta)</w:t>
      </w:r>
    </w:p>
    <w:p>
      <w:pPr>
        <w:pStyle w:val="ListParagraph"/>
        <w:numPr>
          <w:ilvl w:val="0"/>
          <w:numId w:val="2"/>
        </w:numPr>
        <w:spacing w:after="60"/>
      </w:pPr>
      <w:r>
        <w:rPr>
          <w:b/>
          <w:bCs/>
        </w:rPr>
        <w:t xml:space="preserve">Background check:</w:t>
      </w:r>
      <w:r>
        <w:t xml:space="preserve"> $35 (first one free in beta)</w:t>
      </w:r>
    </w:p>
    <w:p>
      <w:pPr>
        <w:pStyle w:val="ListParagraph"/>
        <w:numPr>
          <w:ilvl w:val="0"/>
          <w:numId w:val="2"/>
        </w:numPr>
        <w:spacing w:after="60"/>
      </w:pPr>
      <w:r>
        <w:rPr>
          <w:b/>
          <w:bCs/>
        </w:rPr>
        <w:t xml:space="preserve">Lease signing:</w:t>
      </w:r>
      <w:r>
        <w:t xml:space="preserve"> $5.99 ($1.99 in beta)</w:t>
      </w:r>
    </w:p>
    <w:p>
      <w:pPr>
        <w:pStyle w:val="Heading2"/>
      </w:pPr>
      <w:r>
        <w:t xml:space="preserve">8. Database</w:t>
      </w:r>
    </w:p>
    <w:p>
      <w:pPr>
        <w:pStyle w:val="ListParagraph"/>
        <w:numPr>
          <w:ilvl w:val="0"/>
          <w:numId w:val="2"/>
        </w:numPr>
        <w:spacing w:after="60"/>
      </w:pPr>
      <w:r>
        <w:t xml:space="preserve">Data is stored in a local file and needs to move to Supabase.</w:t>
      </w:r>
    </w:p>
    <w:p>
      <w:pPr>
        <w:pStyle w:val="ListParagraph"/>
        <w:numPr>
          <w:ilvl w:val="0"/>
          <w:numId w:val="2"/>
        </w:numPr>
        <w:spacing w:after="60"/>
      </w:pPr>
      <w:r>
        <w:t xml:space="preserve">Pending sign-in codes are held in memory and are lost when the server restarts.</w:t>
      </w:r>
    </w:p>
    <w:p>
      <w:pPr>
        <w:pStyle w:val="Heading2"/>
      </w:pPr>
      <w:r>
        <w:t xml:space="preserve">9. Listings and search</w:t>
      </w:r>
    </w:p>
    <w:p>
      <w:pPr>
        <w:pStyle w:val="ListParagraph"/>
        <w:numPr>
          <w:ilvl w:val="0"/>
          <w:numId w:val="2"/>
        </w:numPr>
        <w:spacing w:after="60"/>
      </w:pPr>
      <w:r>
        <w:t xml:space="preserve">Listings and search still mostly use sample data and need connecting to the real database.</w:t>
      </w:r>
    </w:p>
    <w:p>
      <w:pPr>
        <w:pStyle w:val="Heading2"/>
      </w:pPr>
      <w:r>
        <w:t xml:space="preserve">10. Leases</w:t>
      </w:r>
    </w:p>
    <w:p>
      <w:pPr>
        <w:pStyle w:val="ListParagraph"/>
        <w:numPr>
          <w:ilvl w:val="0"/>
          <w:numId w:val="2"/>
        </w:numPr>
        <w:spacing w:after="60"/>
      </w:pPr>
      <w:r>
        <w:t xml:space="preserve">Ontario requires the Standard Form of Lease for most residential tenancies, so the lease text needs to be based on that form.</w:t>
      </w:r>
    </w:p>
    <w:p>
      <w:pPr>
        <w:pStyle w:val="Heading2"/>
      </w:pPr>
      <w:r>
        <w:t xml:space="preserve">11. Going live</w:t>
      </w:r>
    </w:p>
    <w:p>
      <w:pPr>
        <w:pStyle w:val="ListParagraph"/>
        <w:numPr>
          <w:ilvl w:val="0"/>
          <w:numId w:val="2"/>
        </w:numPr>
        <w:spacing w:after="60"/>
      </w:pPr>
      <w:r>
        <w:t xml:space="preserve">Hosting for the app and server</w:t>
      </w:r>
    </w:p>
    <w:p>
      <w:pPr>
        <w:pStyle w:val="ListParagraph"/>
        <w:numPr>
          <w:ilvl w:val="0"/>
          <w:numId w:val="2"/>
        </w:numPr>
        <w:spacing w:after="60"/>
      </w:pPr>
      <w:r>
        <w:t xml:space="preserve">Sending email from the real rentre.ca domain</w:t>
      </w:r>
    </w:p>
    <w:p>
      <w:pPr>
        <w:pStyle w:val="ListParagraph"/>
        <w:numPr>
          <w:ilvl w:val="0"/>
          <w:numId w:val="2"/>
        </w:numPr>
        <w:spacing w:after="60"/>
      </w:pPr>
      <w:r>
        <w:t xml:space="preserve">A production security secret</w:t>
      </w:r>
    </w:p>
    <w:p>
      <w:pPr>
        <w:pStyle w:val="ListParagraph"/>
        <w:numPr>
          <w:ilvl w:val="0"/>
          <w:numId w:val="2"/>
        </w:numPr>
        <w:spacing w:after="60"/>
      </w:pPr>
      <w:r>
        <w:t xml:space="preserve">A new Resend API key (the current one should be replaced)</w:t>
      </w:r>
    </w:p>
    <w:p>
      <w:pPr>
        <w:pStyle w:val="ListParagraph"/>
        <w:numPr>
          <w:ilvl w:val="0"/>
          <w:numId w:val="2"/>
        </w:numPr>
        <w:spacing w:after="60"/>
      </w:pPr>
      <w:r>
        <w:t xml:space="preserve">DNS configuration for rentre.ca</w:t>
      </w:r>
    </w:p>
    <w:p>
      <w:pPr>
        <w:pStyle w:val="Heading1"/>
      </w:pPr>
      <w:r>
        <w:t xml:space="preserve">Credentials and access needed from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D5CFC3" w:sz="4"/>
              <w:left w:val="single" w:color="D5CFC3" w:sz="4"/>
              <w:bottom w:val="single" w:color="D5CFC3" w:sz="4"/>
              <w:right w:val="single" w:color="D5CFC3" w:sz="4"/>
            </w:tcBorders>
            <w:shd w:fill="16261D" w:color="auto" w:val="clear"/>
            <w:tcMar>
              <w:top w:type="dxa" w:w="80"/>
              <w:left w:type="dxa" w:w="120"/>
              <w:bottom w:type="dxa" w:w="80"/>
              <w:right w:type="dxa" w:w="120"/>
            </w:tcMar>
          </w:tcPr>
          <w:p>
            <w:pPr>
              <w:spacing w:after="40"/>
            </w:pPr>
            <w:r>
              <w:rPr>
                <w:b/>
                <w:bCs/>
                <w:color w:val="FFFFFF"/>
              </w:rPr>
              <w:t xml:space="preserve">Service</w:t>
            </w:r>
          </w:p>
        </w:tc>
        <w:tc>
          <w:tcPr>
            <w:tcW w:type="dxa" w:w="4260"/>
            <w:tcBorders>
              <w:top w:val="single" w:color="D5CFC3" w:sz="4"/>
              <w:left w:val="single" w:color="D5CFC3" w:sz="4"/>
              <w:bottom w:val="single" w:color="D5CFC3" w:sz="4"/>
              <w:right w:val="single" w:color="D5CFC3" w:sz="4"/>
            </w:tcBorders>
            <w:shd w:fill="16261D" w:color="auto" w:val="clear"/>
            <w:tcMar>
              <w:top w:type="dxa" w:w="80"/>
              <w:left w:type="dxa" w:w="120"/>
              <w:bottom w:type="dxa" w:w="80"/>
              <w:right w:type="dxa" w:w="120"/>
            </w:tcMar>
          </w:tcPr>
          <w:p>
            <w:pPr>
              <w:spacing w:after="40"/>
            </w:pPr>
            <w:r>
              <w:rPr>
                <w:b/>
                <w:bCs/>
                <w:color w:val="FFFFFF"/>
              </w:rPr>
              <w:t xml:space="preserve">What we need</w:t>
            </w:r>
          </w:p>
        </w:tc>
        <w:tc>
          <w:tcPr>
            <w:tcW w:type="dxa" w:w="3200"/>
            <w:tcBorders>
              <w:top w:val="single" w:color="D5CFC3" w:sz="4"/>
              <w:left w:val="single" w:color="D5CFC3" w:sz="4"/>
              <w:bottom w:val="single" w:color="D5CFC3" w:sz="4"/>
              <w:right w:val="single" w:color="D5CFC3" w:sz="4"/>
            </w:tcBorders>
            <w:shd w:fill="16261D" w:color="auto" w:val="clear"/>
            <w:tcMar>
              <w:top w:type="dxa" w:w="80"/>
              <w:left w:type="dxa" w:w="120"/>
              <w:bottom w:type="dxa" w:w="80"/>
              <w:right w:type="dxa" w:w="120"/>
            </w:tcMar>
          </w:tcPr>
          <w:p>
            <w:pPr>
              <w:spacing w:after="40"/>
            </w:pPr>
            <w:r>
              <w:rPr>
                <w:b/>
                <w:bCs/>
                <w:color w:val="FFFFFF"/>
              </w:rPr>
              <w:t xml:space="preserve">What it’s for</w:t>
            </w:r>
          </w:p>
        </w:tc>
      </w:tr>
      <w:tr>
        <w:tc>
          <w:tcPr>
            <w:tcW w:type="dxa" w:w="19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rPr>
                <w:b/>
                <w:bCs/>
              </w:rPr>
              <w:t xml:space="preserve">Resend</w:t>
            </w:r>
          </w:p>
        </w:tc>
        <w:tc>
          <w:tcPr>
            <w:tcW w:type="dxa" w:w="426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DNS records added in Squarespace to verify rentre.ca</w:t>
            </w:r>
          </w:p>
          <w:p>
            <w:pPr>
              <w:spacing w:after="40"/>
            </w:pPr>
            <w:r>
              <w:t xml:space="preserve">A new API key (replaces the current one)</w:t>
            </w:r>
          </w:p>
        </w:tc>
        <w:tc>
          <w:tcPr>
            <w:tcW w:type="dxa" w:w="32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Sending emails from rentre.ca: sign-in codes, passports, leases</w:t>
            </w:r>
          </w:p>
        </w:tc>
      </w:tr>
      <w:tr>
        <w:tc>
          <w:tcPr>
            <w:tcW w:type="dxa" w:w="19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rPr>
                <w:b/>
                <w:bCs/>
              </w:rPr>
              <w:t xml:space="preserve">ElevenLabs</w:t>
            </w:r>
          </w:p>
        </w:tc>
        <w:tc>
          <w:tcPr>
            <w:tcW w:type="dxa" w:w="426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API key</w:t>
            </w:r>
          </w:p>
          <w:p>
            <w:pPr>
              <w:spacing w:after="40"/>
            </w:pPr>
            <w:r>
              <w:t xml:space="preserve">Agent ID for reference calls</w:t>
            </w:r>
          </w:p>
          <w:p>
            <w:pPr>
              <w:spacing w:after="40"/>
            </w:pPr>
            <w:r>
              <w:t xml:space="preserve">Agent ID for interviews</w:t>
            </w:r>
          </w:p>
          <w:p>
            <w:pPr>
              <w:spacing w:after="40"/>
            </w:pPr>
            <w:r>
              <w:t xml:space="preserve">ID of the phone number imported into ElevenLabs</w:t>
            </w:r>
          </w:p>
        </w:tc>
        <w:tc>
          <w:tcPr>
            <w:tcW w:type="dxa" w:w="32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AI reference calls and tenant interviews</w:t>
            </w:r>
          </w:p>
        </w:tc>
      </w:tr>
      <w:tr>
        <w:tc>
          <w:tcPr>
            <w:tcW w:type="dxa" w:w="19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rPr>
                <w:b/>
                <w:bCs/>
              </w:rPr>
              <w:t xml:space="preserve">Twilio</w:t>
            </w:r>
          </w:p>
        </w:tc>
        <w:tc>
          <w:tcPr>
            <w:tcW w:type="dxa" w:w="426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Account</w:t>
            </w:r>
          </w:p>
          <w:p>
            <w:pPr>
              <w:spacing w:after="40"/>
            </w:pPr>
            <w:r>
              <w:t xml:space="preserve">A Canadian phone number (imported into ElevenLabs)</w:t>
            </w:r>
          </w:p>
        </w:tc>
        <w:tc>
          <w:tcPr>
            <w:tcW w:type="dxa" w:w="32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The number the AI calls are placed from</w:t>
            </w:r>
          </w:p>
        </w:tc>
      </w:tr>
      <w:tr>
        <w:tc>
          <w:tcPr>
            <w:tcW w:type="dxa" w:w="19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rPr>
                <w:b/>
                <w:bCs/>
              </w:rPr>
              <w:t xml:space="preserve">Supabase</w:t>
            </w:r>
          </w:p>
        </w:tc>
        <w:tc>
          <w:tcPr>
            <w:tcW w:type="dxa" w:w="426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Project URL</w:t>
            </w:r>
          </w:p>
          <w:p>
            <w:pPr>
              <w:spacing w:after="40"/>
            </w:pPr>
            <w:r>
              <w:t xml:space="preserve">Anon key</w:t>
            </w:r>
          </w:p>
          <w:p>
            <w:pPr>
              <w:spacing w:after="40"/>
            </w:pPr>
            <w:r>
              <w:t xml:space="preserve">Service-role key</w:t>
            </w:r>
          </w:p>
        </w:tc>
        <w:tc>
          <w:tcPr>
            <w:tcW w:type="dxa" w:w="32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Production database and file storage</w:t>
            </w:r>
          </w:p>
        </w:tc>
      </w:tr>
      <w:tr>
        <w:tc>
          <w:tcPr>
            <w:tcW w:type="dxa" w:w="19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rPr>
                <w:b/>
                <w:bCs/>
              </w:rPr>
              <w:t xml:space="preserve">Background / ID provider</w:t>
            </w:r>
          </w:p>
        </w:tc>
        <w:tc>
          <w:tcPr>
            <w:tcW w:type="dxa" w:w="426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Choice of provider: Certn, SingleKey, or Stripe Identity</w:t>
            </w:r>
          </w:p>
          <w:p>
            <w:pPr>
              <w:spacing w:after="40"/>
            </w:pPr>
            <w:r>
              <w:t xml:space="preserve">Its API key or credentials</w:t>
            </w:r>
          </w:p>
        </w:tc>
        <w:tc>
          <w:tcPr>
            <w:tcW w:type="dxa" w:w="32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Background reports and ID verification</w:t>
            </w:r>
          </w:p>
        </w:tc>
      </w:tr>
      <w:tr>
        <w:tc>
          <w:tcPr>
            <w:tcW w:type="dxa" w:w="19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rPr>
                <w:b/>
                <w:bCs/>
              </w:rPr>
              <w:t xml:space="preserve">Stripe</w:t>
            </w:r>
          </w:p>
        </w:tc>
        <w:tc>
          <w:tcPr>
            <w:tcW w:type="dxa" w:w="426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API keys, once the client decides to charge for add-ons</w:t>
            </w:r>
          </w:p>
        </w:tc>
        <w:tc>
          <w:tcPr>
            <w:tcW w:type="dxa" w:w="32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Payments for reference calls, background checks, and lease signing</w:t>
            </w:r>
          </w:p>
        </w:tc>
      </w:tr>
      <w:tr>
        <w:tc>
          <w:tcPr>
            <w:tcW w:type="dxa" w:w="19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rPr>
                <w:b/>
                <w:bCs/>
              </w:rPr>
              <w:t xml:space="preserve">Hosting / DNS</w:t>
            </w:r>
          </w:p>
        </w:tc>
        <w:tc>
          <w:tcPr>
            <w:tcW w:type="dxa" w:w="426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Access to the Squarespace DNS settings</w:t>
            </w:r>
          </w:p>
        </w:tc>
        <w:tc>
          <w:tcPr>
            <w:tcW w:type="dxa" w:w="3200"/>
            <w:tcBorders>
              <w:top w:val="single" w:color="D5CFC3" w:sz="4"/>
              <w:left w:val="single" w:color="D5CFC3" w:sz="4"/>
              <w:bottom w:val="single" w:color="D5CFC3" w:sz="4"/>
              <w:right w:val="single" w:color="D5CFC3" w:sz="4"/>
            </w:tcBorders>
            <w:tcMar>
              <w:top w:type="dxa" w:w="80"/>
              <w:left w:type="dxa" w:w="120"/>
              <w:bottom w:type="dxa" w:w="80"/>
              <w:right w:type="dxa" w:w="120"/>
            </w:tcMar>
          </w:tcPr>
          <w:p>
            <w:pPr>
              <w:spacing w:after="40"/>
            </w:pPr>
            <w:r>
              <w:t xml:space="preserve">Pointing the live app at rentre.ca</w:t>
            </w:r>
          </w:p>
        </w:tc>
      </w:tr>
    </w:tbl>
    <w:p>
      <w:pPr>
        <w:spacing w:after="120"/>
      </w:pPr>
    </w:p>
    <w:p>
      <w:pPr>
        <w:pStyle w:val="Heading1"/>
      </w:pPr>
      <w:r>
        <w:t xml:space="preserve">Suggested order of work</w:t>
      </w:r>
    </w:p>
    <w:p>
      <w:pPr>
        <w:pStyle w:val="ListParagraph"/>
        <w:keepNext/>
        <w:keepLines/>
        <w:numPr>
          <w:ilvl w:val="0"/>
          <w:numId w:val="3"/>
        </w:numPr>
        <w:spacing w:after="80"/>
      </w:pPr>
      <w:r>
        <w:t xml:space="preserve">Client provides the Resend DNS records and new API key, and the ElevenLabs/Twilio setup.</w:t>
      </w:r>
    </w:p>
    <w:p>
      <w:pPr>
        <w:pStyle w:val="ListParagraph"/>
        <w:keepNext/>
        <w:keepLines/>
        <w:numPr>
          <w:ilvl w:val="0"/>
          <w:numId w:val="3"/>
        </w:numPr>
        <w:spacing w:after="80"/>
      </w:pPr>
      <w:r>
        <w:t xml:space="preserve">Landlord sign-in, and the passport actions (reference call, lease) working from a shared passport.</w:t>
      </w:r>
    </w:p>
    <w:p>
      <w:pPr>
        <w:pStyle w:val="ListParagraph"/>
        <w:keepNext/>
        <w:keepLines/>
        <w:numPr>
          <w:ilvl w:val="0"/>
          <w:numId w:val="3"/>
        </w:numPr>
        <w:spacing w:after="80"/>
      </w:pPr>
      <w:r>
        <w:t xml:space="preserve">Complete onboarding so the passport shows every section, with real document storage.</w:t>
      </w:r>
    </w:p>
    <w:p>
      <w:pPr>
        <w:pStyle w:val="ListParagraph"/>
        <w:keepNext/>
        <w:keepLines/>
        <w:numPr>
          <w:ilvl w:val="0"/>
          <w:numId w:val="3"/>
        </w:numPr>
        <w:spacing w:after="80"/>
      </w:pPr>
      <w:r>
        <w:t xml:space="preserve">Move data to Supabase and connect listings, search, and applications.</w:t>
      </w:r>
    </w:p>
    <w:p>
      <w:pPr>
        <w:pStyle w:val="ListParagraph"/>
        <w:keepNext/>
        <w:keepLines/>
        <w:numPr>
          <w:ilvl w:val="0"/>
          <w:numId w:val="3"/>
        </w:numPr>
        <w:spacing w:after="80"/>
      </w:pPr>
      <w:r>
        <w:t xml:space="preserve">Choose the background/ID provider and add payments with Stripe.</w:t>
      </w:r>
    </w:p>
    <w:p>
      <w:pPr>
        <w:pStyle w:val="ListParagraph"/>
        <w:keepNext w:val="false"/>
        <w:keepLines/>
        <w:numPr>
          <w:ilvl w:val="0"/>
          <w:numId w:val="3"/>
        </w:numPr>
        <w:spacing w:after="80"/>
      </w:pPr>
      <w:r>
        <w:t xml:space="preserve">Production setup and launch on rentre.ca.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63"/>
        <w:sz w:val="16"/>
        <w:szCs w:val="16"/>
      </w:rPr>
      <w:t xml:space="preserve">Rentre · Project Status Report · Page </w:t>
    </w:r>
    <w:r>
      <w:rPr>
        <w:color w:val="5F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52B"/>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20"/>
      <w:outlineLvl w:val="0"/>
    </w:pPr>
    <w:rPr>
      <w:rFonts w:ascii="Arial" w:cs="Arial" w:eastAsia="Arial" w:hAnsi="Arial"/>
      <w:b/>
      <w:bCs/>
      <w:color w:val="16261D"/>
      <w:sz w:val="30"/>
      <w:szCs w:val="30"/>
    </w:rPr>
  </w:style>
  <w:style w:type="paragraph" w:styleId="Heading2">
    <w:name w:val="Heading 2"/>
    <w:basedOn w:val="Normal"/>
    <w:next w:val="Normal"/>
    <w:qFormat/>
    <w:pPr>
      <w:keepNext/>
      <w:keepLines/>
      <w:spacing w:after="80" w:before="200"/>
      <w:outlineLvl w:val="1"/>
    </w:pPr>
    <w:rPr>
      <w:rFonts w:ascii="Arial" w:cs="Arial" w:eastAsia="Arial" w:hAnsi="Arial"/>
      <w:b/>
      <w:bCs/>
      <w:color w:val="E8703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Rentre Project Status Report</dc:title>
  <dc:creator>Rentre</dc:creator>
  <cp:lastModifiedBy>Un-named</cp:lastModifiedBy>
  <cp:revision>1</cp:revision>
  <dcterms:created xsi:type="dcterms:W3CDTF">2026-10-03T12:06:58.336Z</dcterms:created>
  <dcterms:modified xsi:type="dcterms:W3CDTF">2026-10-03T12:06:58.338Z</dcterms:modified>
</cp:coreProperties>
</file>

<file path=docProps/custom.xml><?xml version="1.0" encoding="utf-8"?>
<Properties xmlns="http://schemas.openxmlformats.org/officeDocument/2006/custom-properties" xmlns:vt="http://schemas.openxmlformats.org/officeDocument/2006/docPropsVTypes"/>
</file>