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GP1S/037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08-Jul-2020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Pragati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0000002998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10 10A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GP2Structure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1000.000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1000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0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1000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One Thousand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