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KIPS/2019/20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08-Jul-2020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AARAV AGARWAL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 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snt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Hundred  Fifty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