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18A1D" w14:textId="77777777" w:rsidR="009E110B" w:rsidRPr="0089365D" w:rsidRDefault="00000000">
      <w:pPr>
        <w:spacing w:after="40"/>
        <w:jc w:val="center"/>
        <w:rPr>
          <w:lang w:val="en-GB"/>
        </w:rPr>
      </w:pPr>
      <w:r>
        <w:rPr>
          <w:b/>
          <w:bCs/>
          <w:color w:val="1A1A2E"/>
          <w:sz w:val="40"/>
          <w:szCs w:val="40"/>
          <w:lang w:val="en-GB"/>
        </w:rPr>
        <w:t>Prompt Engineering Challenge</w:t>
      </w:r>
    </w:p>
    <w:p w14:paraId="69DC4EDD" w14:textId="77777777" w:rsidR="009E110B" w:rsidRPr="0089365D" w:rsidRDefault="00000000">
      <w:pPr>
        <w:spacing w:after="200"/>
        <w:jc w:val="center"/>
        <w:rPr>
          <w:lang w:val="en-GB"/>
        </w:rPr>
      </w:pPr>
      <w:r>
        <w:rPr>
          <w:color w:val="555555"/>
          <w:lang w:val="en-GB"/>
        </w:rPr>
        <w:t>Student Handout — Keep this sheet with your team</w:t>
      </w:r>
    </w:p>
    <w:p w14:paraId="43CA720D" w14:textId="77777777" w:rsidR="009E110B" w:rsidRPr="0089365D" w:rsidRDefault="009E110B">
      <w:pPr>
        <w:pBdr>
          <w:bottom w:val="single" w:sz="2" w:space="0" w:color="0077B6"/>
        </w:pBdr>
        <w:spacing w:after="200"/>
        <w:rPr>
          <w:lang w:val="en-GB"/>
        </w:rPr>
      </w:pPr>
    </w:p>
    <w:p w14:paraId="48864553" w14:textId="18013003" w:rsidR="009E110B" w:rsidRPr="0089365D" w:rsidRDefault="00000000">
      <w:pPr>
        <w:pStyle w:val="Ttulo1"/>
        <w:rPr>
          <w:lang w:val="en-GB"/>
        </w:rPr>
      </w:pPr>
      <w:r>
        <w:rPr>
          <w:lang w:val="en-GB"/>
        </w:rPr>
        <w:t>ROUND 1: Good vs. Bad Prompt</w:t>
      </w:r>
    </w:p>
    <w:p w14:paraId="621E4A81" w14:textId="77777777" w:rsidR="009E110B" w:rsidRPr="0089365D" w:rsidRDefault="00000000">
      <w:pPr>
        <w:spacing w:after="100"/>
        <w:rPr>
          <w:lang w:val="en-GB"/>
        </w:rPr>
      </w:pPr>
      <w:r>
        <w:rPr>
          <w:b/>
          <w:bCs/>
          <w:lang w:val="en-GB"/>
        </w:rPr>
        <w:t xml:space="preserve">Task: </w:t>
      </w:r>
      <w:r>
        <w:rPr>
          <w:lang w:val="en-GB"/>
        </w:rPr>
        <w:t>Use the text below as input. First, write the worst prompt you can think of and run it. Then, write the best prompt you can to produce a clear 5-sentence summary for a general audience. Save both outputs to show the class.</w:t>
      </w:r>
    </w:p>
    <w:p w14:paraId="3F1D3066" w14:textId="77777777" w:rsidR="009E110B" w:rsidRPr="0089365D" w:rsidRDefault="00000000">
      <w:pPr>
        <w:spacing w:after="160"/>
        <w:rPr>
          <w:lang w:val="en-GB"/>
        </w:rPr>
      </w:pPr>
      <w:r>
        <w:rPr>
          <w:lang w:val="en-GB"/>
        </w:rPr>
        <w:t>Be ready to share your worst and best outputs with the room.</w:t>
      </w:r>
    </w:p>
    <w:p w14:paraId="5DD6845B" w14:textId="77777777" w:rsidR="009E110B" w:rsidRPr="0089365D" w:rsidRDefault="00000000">
      <w:pPr>
        <w:pStyle w:val="Ttulo2"/>
        <w:rPr>
          <w:lang w:val="en-GB"/>
        </w:rPr>
      </w:pPr>
      <w:r>
        <w:rPr>
          <w:i/>
          <w:iCs/>
          <w:lang w:val="en-GB"/>
        </w:rPr>
        <w:t>Text to summarize:</w:t>
      </w:r>
    </w:p>
    <w:p w14:paraId="09A085F5" w14:textId="77777777" w:rsidR="009E110B" w:rsidRPr="0089365D" w:rsidRDefault="00000000">
      <w:pPr>
        <w:shd w:val="clear" w:color="auto" w:fill="F0F0F0"/>
        <w:spacing w:after="120"/>
        <w:ind w:left="200" w:right="200"/>
        <w:rPr>
          <w:lang w:val="en-GB"/>
        </w:rPr>
      </w:pPr>
      <w:r>
        <w:rPr>
          <w:color w:val="222222"/>
          <w:sz w:val="18"/>
          <w:szCs w:val="18"/>
          <w:lang w:val="en-GB"/>
        </w:rPr>
        <w:t>The integration of nationally determined contributions (NDCs) into a coherent global mitigation pathway remains contingent upon the operationalization of differentiated responsibility frameworks as articulated in Article 4.3 of the Paris Agreement. Current aggregate NDC trajectories, as assessed by the UNEP Emissions Gap Report 2023, project global mean temperature increases of 2.5 to 2.9 degrees Celsius above pre-industrial levels by 2100, significantly exceeding the 1.5 degrees Celsius threshold established by the scientific consensus reflected in IPCC AR6. The discrepancy between pledged emission reduction targets and the modelled pathways consistent with limiting warming to 1.5 degrees Celsius with limited or no overshoot amounts to approximately 20 to 23 GtCO2e per year by 2030.</w:t>
      </w:r>
    </w:p>
    <w:p w14:paraId="6E3FB4E2" w14:textId="77777777" w:rsidR="009E110B" w:rsidRPr="0089365D" w:rsidRDefault="00000000">
      <w:pPr>
        <w:shd w:val="clear" w:color="auto" w:fill="F0F0F0"/>
        <w:spacing w:after="120"/>
        <w:ind w:left="200" w:right="200"/>
        <w:rPr>
          <w:lang w:val="en-GB"/>
        </w:rPr>
      </w:pPr>
      <w:r>
        <w:rPr>
          <w:color w:val="222222"/>
          <w:sz w:val="18"/>
          <w:szCs w:val="18"/>
          <w:lang w:val="en-GB"/>
        </w:rPr>
        <w:t>Addressing this implementation deficit requires accelerated deployment of carbon dioxide removal (CDR) technologies, including but not limited to direct air capture (DAC), bioenergy with carbon capture and storage (BECCS), and enhanced weathering. However, the Sixth Assessment Report notes that over-reliance on future CDR deployment introduces significant feasibility and sustainability risks, particularly regarding land-use competition, energy requirements, and social acceptability constraints. The Global Stocktake mechanism, conducted at five-year intervals commencing in 2023, provides the institutional framework for progressive ambition ratcheting, yet its effectiveness depends on transparent reporting under the Enhanced Transparency Framework (ETF) established by Article 13.</w:t>
      </w:r>
    </w:p>
    <w:p w14:paraId="1D0B3ABD" w14:textId="77777777" w:rsidR="009E110B" w:rsidRPr="0089365D" w:rsidRDefault="00000000">
      <w:pPr>
        <w:shd w:val="clear" w:color="auto" w:fill="F0F0F0"/>
        <w:spacing w:after="120"/>
        <w:ind w:left="200" w:right="200"/>
        <w:rPr>
          <w:lang w:val="en-GB"/>
        </w:rPr>
      </w:pPr>
      <w:r>
        <w:rPr>
          <w:color w:val="222222"/>
          <w:sz w:val="18"/>
          <w:szCs w:val="18"/>
          <w:lang w:val="en-GB"/>
        </w:rPr>
        <w:t>Furthermore, adaptation finance flows remain substantially below estimated needs, with the Adaptation Gap Report identifying an annual deficit of $194 to $366 billion for developing countries alone. The operationalization of the Loss and Damage Fund agreed at COP28, while representing a significant normative advancement, confronts unresolved governance questions regarding capitalization thresholds, disbursement criteria, and the relationship between loss and damage financing and existing official development assistance (ODA) commitments.</w:t>
      </w:r>
    </w:p>
    <w:p w14:paraId="52D92912" w14:textId="77777777" w:rsidR="009E110B" w:rsidRPr="0089365D" w:rsidRDefault="009E110B">
      <w:pPr>
        <w:spacing w:after="100"/>
        <w:rPr>
          <w:lang w:val="en-GB"/>
        </w:rPr>
      </w:pPr>
    </w:p>
    <w:p w14:paraId="70096B28" w14:textId="7DD43302" w:rsidR="009E110B" w:rsidRPr="0089365D" w:rsidRDefault="00000000">
      <w:pPr>
        <w:pStyle w:val="Ttulo1"/>
        <w:rPr>
          <w:lang w:val="en-GB"/>
        </w:rPr>
      </w:pPr>
      <w:r>
        <w:rPr>
          <w:lang w:val="en-GB"/>
        </w:rPr>
        <w:t>ROUND 2: The Consulting Team</w:t>
      </w:r>
    </w:p>
    <w:p w14:paraId="3460D2A5" w14:textId="77777777" w:rsidR="009E110B" w:rsidRPr="0089365D" w:rsidRDefault="00000000">
      <w:pPr>
        <w:spacing w:after="100"/>
        <w:rPr>
          <w:lang w:val="en-GB"/>
        </w:rPr>
      </w:pPr>
      <w:r>
        <w:rPr>
          <w:b/>
          <w:bCs/>
          <w:lang w:val="en-GB"/>
        </w:rPr>
        <w:t xml:space="preserve">Scenario: </w:t>
      </w:r>
      <w:r>
        <w:rPr>
          <w:lang w:val="en-GB"/>
        </w:rPr>
        <w:t>A small company (20 employees, based in Southern Europe) is considering installing solar panels on their 200 m² office roof. The CEO asks your consulting team to use AI to prepare a quick feasibility brief.</w:t>
      </w:r>
    </w:p>
    <w:p w14:paraId="017DDA30" w14:textId="77777777" w:rsidR="009E110B" w:rsidRPr="0089365D" w:rsidRDefault="00000000">
      <w:pPr>
        <w:spacing w:after="160"/>
        <w:rPr>
          <w:lang w:val="en-GB"/>
        </w:rPr>
      </w:pPr>
      <w:r>
        <w:rPr>
          <w:lang w:val="en-GB"/>
        </w:rPr>
        <w:t xml:space="preserve">Each team member takes </w:t>
      </w:r>
      <w:r>
        <w:rPr>
          <w:b/>
          <w:bCs/>
          <w:lang w:val="en-GB"/>
        </w:rPr>
        <w:t>one role</w:t>
      </w:r>
      <w:r>
        <w:rPr>
          <w:lang w:val="en-GB"/>
        </w:rPr>
        <w:t xml:space="preserve"> based on their background and writes </w:t>
      </w:r>
      <w:r>
        <w:rPr>
          <w:b/>
          <w:bCs/>
          <w:lang w:val="en-GB"/>
        </w:rPr>
        <w:t>one prompt</w:t>
      </w:r>
      <w:r>
        <w:rPr>
          <w:lang w:val="en-GB"/>
        </w:rPr>
        <w:t>. Then combine all four AI outputs into a single one-page brief.</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6146"/>
      </w:tblGrid>
      <w:tr w:rsidR="009E110B" w:rsidRPr="0089365D" w14:paraId="1CE1417C" w14:textId="77777777">
        <w:tc>
          <w:tcPr>
            <w:tcW w:w="1800" w:type="dxa"/>
            <w:tcBorders>
              <w:top w:val="single" w:sz="1" w:space="0" w:color="CCCCCC"/>
              <w:left w:val="single" w:sz="1" w:space="0" w:color="CCCCCC"/>
              <w:bottom w:val="single" w:sz="1" w:space="0" w:color="CCCCCC"/>
              <w:right w:val="single" w:sz="1" w:space="0" w:color="CCCCCC"/>
            </w:tcBorders>
            <w:shd w:val="clear" w:color="auto" w:fill="0077B6"/>
            <w:tcMar>
              <w:top w:w="80" w:type="dxa"/>
              <w:left w:w="120" w:type="dxa"/>
              <w:bottom w:w="80" w:type="dxa"/>
              <w:right w:w="120" w:type="dxa"/>
            </w:tcMar>
          </w:tcPr>
          <w:p w14:paraId="54281989" w14:textId="77777777" w:rsidR="009E110B" w:rsidRPr="0089365D" w:rsidRDefault="00000000">
            <w:pPr>
              <w:rPr>
                <w:lang w:val="en-GB"/>
              </w:rPr>
            </w:pPr>
            <w:r>
              <w:rPr>
                <w:b/>
                <w:bCs/>
                <w:color w:val="FFFFFF"/>
                <w:sz w:val="17"/>
                <w:szCs w:val="17"/>
                <w:lang w:val="en-GB"/>
              </w:rPr>
              <w:t>Role</w:t>
            </w:r>
          </w:p>
        </w:tc>
        <w:tc>
          <w:tcPr>
            <w:tcW w:w="1800" w:type="dxa"/>
            <w:tcBorders>
              <w:top w:val="single" w:sz="1" w:space="0" w:color="CCCCCC"/>
              <w:left w:val="single" w:sz="1" w:space="0" w:color="CCCCCC"/>
              <w:bottom w:val="single" w:sz="1" w:space="0" w:color="CCCCCC"/>
              <w:right w:val="single" w:sz="1" w:space="0" w:color="CCCCCC"/>
            </w:tcBorders>
            <w:shd w:val="clear" w:color="auto" w:fill="0077B6"/>
            <w:tcMar>
              <w:top w:w="80" w:type="dxa"/>
              <w:left w:w="120" w:type="dxa"/>
              <w:bottom w:w="80" w:type="dxa"/>
              <w:right w:w="120" w:type="dxa"/>
            </w:tcMar>
          </w:tcPr>
          <w:p w14:paraId="21687C28" w14:textId="77777777" w:rsidR="009E110B" w:rsidRPr="0089365D" w:rsidRDefault="00000000">
            <w:pPr>
              <w:rPr>
                <w:lang w:val="en-GB"/>
              </w:rPr>
            </w:pPr>
            <w:r>
              <w:rPr>
                <w:b/>
                <w:bCs/>
                <w:color w:val="FFFFFF"/>
                <w:sz w:val="17"/>
                <w:szCs w:val="17"/>
                <w:lang w:val="en-GB"/>
              </w:rPr>
              <w:t>Best fit</w:t>
            </w:r>
          </w:p>
        </w:tc>
        <w:tc>
          <w:tcPr>
            <w:tcW w:w="6146" w:type="dxa"/>
            <w:tcBorders>
              <w:top w:val="single" w:sz="1" w:space="0" w:color="CCCCCC"/>
              <w:left w:val="single" w:sz="1" w:space="0" w:color="CCCCCC"/>
              <w:bottom w:val="single" w:sz="1" w:space="0" w:color="CCCCCC"/>
              <w:right w:val="single" w:sz="1" w:space="0" w:color="CCCCCC"/>
            </w:tcBorders>
            <w:shd w:val="clear" w:color="auto" w:fill="0077B6"/>
            <w:tcMar>
              <w:top w:w="80" w:type="dxa"/>
              <w:left w:w="120" w:type="dxa"/>
              <w:bottom w:w="80" w:type="dxa"/>
              <w:right w:w="120" w:type="dxa"/>
            </w:tcMar>
          </w:tcPr>
          <w:p w14:paraId="406FD23D" w14:textId="77777777" w:rsidR="009E110B" w:rsidRPr="0089365D" w:rsidRDefault="00000000">
            <w:pPr>
              <w:rPr>
                <w:lang w:val="en-GB"/>
              </w:rPr>
            </w:pPr>
            <w:r>
              <w:rPr>
                <w:b/>
                <w:bCs/>
                <w:color w:val="FFFFFF"/>
                <w:sz w:val="17"/>
                <w:szCs w:val="17"/>
                <w:lang w:val="en-GB"/>
              </w:rPr>
              <w:t>Your prompt should cover...</w:t>
            </w:r>
          </w:p>
        </w:tc>
      </w:tr>
      <w:tr w:rsidR="009E110B" w:rsidRPr="0089365D" w14:paraId="178EE59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9E4ED" w14:textId="77777777" w:rsidR="009E110B" w:rsidRPr="0089365D" w:rsidRDefault="00000000">
            <w:pPr>
              <w:rPr>
                <w:lang w:val="en-GB"/>
              </w:rPr>
            </w:pPr>
            <w:r>
              <w:rPr>
                <w:color w:val="000000"/>
                <w:sz w:val="17"/>
                <w:szCs w:val="17"/>
                <w:lang w:val="en-GB"/>
              </w:rPr>
              <w:t>The Engineer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01864" w14:textId="77777777" w:rsidR="009E110B" w:rsidRPr="0089365D" w:rsidRDefault="00000000">
            <w:pPr>
              <w:rPr>
                <w:lang w:val="en-GB"/>
              </w:rPr>
            </w:pPr>
            <w:r>
              <w:rPr>
                <w:color w:val="000000"/>
                <w:sz w:val="17"/>
                <w:szCs w:val="17"/>
                <w:lang w:val="en-GB"/>
              </w:rPr>
              <w:t>Electrical Eng.</w:t>
            </w:r>
          </w:p>
        </w:tc>
        <w:tc>
          <w:tcPr>
            <w:tcW w:w="61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461F6" w14:textId="77777777" w:rsidR="009E110B" w:rsidRPr="0089365D" w:rsidRDefault="00000000">
            <w:pPr>
              <w:rPr>
                <w:lang w:val="en-GB"/>
              </w:rPr>
            </w:pPr>
            <w:r>
              <w:rPr>
                <w:color w:val="000000"/>
                <w:sz w:val="17"/>
                <w:szCs w:val="17"/>
                <w:lang w:val="en-GB"/>
              </w:rPr>
              <w:t>System size, panel count, expected annual energy output for a 200 m² roof in Southern Europe</w:t>
            </w:r>
          </w:p>
        </w:tc>
      </w:tr>
      <w:tr w:rsidR="009E110B" w:rsidRPr="0089365D" w14:paraId="6CE6F403"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00AE025" w14:textId="77777777" w:rsidR="009E110B" w:rsidRPr="0089365D" w:rsidRDefault="00000000">
            <w:pPr>
              <w:rPr>
                <w:lang w:val="en-GB"/>
              </w:rPr>
            </w:pPr>
            <w:r>
              <w:rPr>
                <w:color w:val="000000"/>
                <w:sz w:val="17"/>
                <w:szCs w:val="17"/>
                <w:lang w:val="en-GB"/>
              </w:rPr>
              <w:t>The Economist</w:t>
            </w:r>
          </w:p>
        </w:tc>
        <w:tc>
          <w:tcPr>
            <w:tcW w:w="1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C45C2CF" w14:textId="77777777" w:rsidR="009E110B" w:rsidRPr="0089365D" w:rsidRDefault="00000000">
            <w:pPr>
              <w:rPr>
                <w:lang w:val="en-GB"/>
              </w:rPr>
            </w:pPr>
            <w:r>
              <w:rPr>
                <w:color w:val="000000"/>
                <w:sz w:val="17"/>
                <w:szCs w:val="17"/>
                <w:lang w:val="en-GB"/>
              </w:rPr>
              <w:t>Economy</w:t>
            </w:r>
          </w:p>
        </w:tc>
        <w:tc>
          <w:tcPr>
            <w:tcW w:w="614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B4F5119" w14:textId="77777777" w:rsidR="009E110B" w:rsidRPr="0089365D" w:rsidRDefault="00000000">
            <w:pPr>
              <w:rPr>
                <w:lang w:val="en-GB"/>
              </w:rPr>
            </w:pPr>
            <w:r>
              <w:rPr>
                <w:color w:val="000000"/>
                <w:sz w:val="17"/>
                <w:szCs w:val="17"/>
                <w:lang w:val="en-GB"/>
              </w:rPr>
              <w:t>Installation costs, annual savings on electricity, payback period</w:t>
            </w:r>
          </w:p>
        </w:tc>
      </w:tr>
      <w:tr w:rsidR="009E110B" w:rsidRPr="0089365D" w14:paraId="0DF2510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BFF50" w14:textId="77777777" w:rsidR="009E110B" w:rsidRPr="0089365D" w:rsidRDefault="00000000">
            <w:pPr>
              <w:rPr>
                <w:lang w:val="en-GB"/>
              </w:rPr>
            </w:pPr>
            <w:r>
              <w:rPr>
                <w:color w:val="000000"/>
                <w:sz w:val="17"/>
                <w:szCs w:val="17"/>
                <w:lang w:val="en-GB"/>
              </w:rPr>
              <w:t>The Manager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E9360" w14:textId="77777777" w:rsidR="009E110B" w:rsidRPr="0089365D" w:rsidRDefault="00000000">
            <w:pPr>
              <w:rPr>
                <w:lang w:val="en-GB"/>
              </w:rPr>
            </w:pPr>
            <w:r>
              <w:rPr>
                <w:color w:val="000000"/>
                <w:sz w:val="17"/>
                <w:szCs w:val="17"/>
                <w:lang w:val="en-GB"/>
              </w:rPr>
              <w:t>Info &amp; Management</w:t>
            </w:r>
          </w:p>
        </w:tc>
        <w:tc>
          <w:tcPr>
            <w:tcW w:w="61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8B8B1" w14:textId="77777777" w:rsidR="009E110B" w:rsidRPr="0089365D" w:rsidRDefault="00000000">
            <w:pPr>
              <w:rPr>
                <w:lang w:val="en-GB"/>
              </w:rPr>
            </w:pPr>
            <w:r>
              <w:rPr>
                <w:color w:val="000000"/>
                <w:sz w:val="17"/>
                <w:szCs w:val="17"/>
                <w:lang w:val="en-GB"/>
              </w:rPr>
              <w:t>Top 5 project risks and one mitigation action for each</w:t>
            </w:r>
          </w:p>
        </w:tc>
      </w:tr>
      <w:tr w:rsidR="009E110B" w:rsidRPr="0089365D" w14:paraId="06C1EE99"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41AE3D1" w14:textId="77777777" w:rsidR="009E110B" w:rsidRPr="0089365D" w:rsidRDefault="00000000">
            <w:pPr>
              <w:rPr>
                <w:lang w:val="en-GB"/>
              </w:rPr>
            </w:pPr>
            <w:r>
              <w:rPr>
                <w:color w:val="000000"/>
                <w:sz w:val="17"/>
                <w:szCs w:val="17"/>
                <w:lang w:val="en-GB"/>
              </w:rPr>
              <w:t>The Technologist</w:t>
            </w:r>
          </w:p>
        </w:tc>
        <w:tc>
          <w:tcPr>
            <w:tcW w:w="1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6A288D7" w14:textId="77777777" w:rsidR="009E110B" w:rsidRPr="0089365D" w:rsidRDefault="00000000">
            <w:pPr>
              <w:rPr>
                <w:lang w:val="en-GB"/>
              </w:rPr>
            </w:pPr>
            <w:r>
              <w:rPr>
                <w:color w:val="000000"/>
                <w:sz w:val="17"/>
                <w:szCs w:val="17"/>
                <w:lang w:val="en-GB"/>
              </w:rPr>
              <w:t>Computer Eng.</w:t>
            </w:r>
          </w:p>
        </w:tc>
        <w:tc>
          <w:tcPr>
            <w:tcW w:w="614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46877A0" w14:textId="77777777" w:rsidR="009E110B" w:rsidRPr="0089365D" w:rsidRDefault="00000000">
            <w:pPr>
              <w:rPr>
                <w:lang w:val="en-GB"/>
              </w:rPr>
            </w:pPr>
            <w:r>
              <w:rPr>
                <w:color w:val="000000"/>
                <w:sz w:val="17"/>
                <w:szCs w:val="17"/>
                <w:lang w:val="en-GB"/>
              </w:rPr>
              <w:t>What data to collect and how to automate performance monitoring</w:t>
            </w:r>
          </w:p>
        </w:tc>
      </w:tr>
    </w:tbl>
    <w:p w14:paraId="58EB2345" w14:textId="77777777" w:rsidR="009E110B" w:rsidRPr="0089365D" w:rsidRDefault="009E110B">
      <w:pPr>
        <w:spacing w:after="80"/>
        <w:rPr>
          <w:lang w:val="en-GB"/>
        </w:rPr>
      </w:pPr>
    </w:p>
    <w:p w14:paraId="4FB4F70A" w14:textId="1E659400" w:rsidR="009E110B" w:rsidRPr="0089365D" w:rsidRDefault="00000000">
      <w:pPr>
        <w:spacing w:after="60"/>
        <w:rPr>
          <w:lang w:val="en-GB"/>
        </w:rPr>
      </w:pPr>
      <w:r>
        <w:rPr>
          <w:b/>
          <w:bCs/>
          <w:lang w:val="en-GB"/>
        </w:rPr>
        <w:t xml:space="preserve">Flow: </w:t>
      </w:r>
      <w:r>
        <w:rPr>
          <w:lang w:val="en-GB"/>
        </w:rPr>
        <w:t>Prompting individually → Combining into one brief → Presenting to the class.</w:t>
      </w:r>
    </w:p>
    <w:p w14:paraId="6C7626D4" w14:textId="77777777" w:rsidR="009E110B" w:rsidRPr="0089365D" w:rsidRDefault="00000000">
      <w:pPr>
        <w:spacing w:after="60"/>
        <w:rPr>
          <w:lang w:val="en-GB"/>
        </w:rPr>
      </w:pPr>
      <w:r>
        <w:rPr>
          <w:lang w:val="en-GB"/>
        </w:rPr>
        <w:t>Be ready to share highlights from your brief with the room.</w:t>
      </w:r>
    </w:p>
    <w:p w14:paraId="0BBC77F3" w14:textId="610F7A24" w:rsidR="009E110B" w:rsidRPr="0089365D" w:rsidRDefault="00000000">
      <w:pPr>
        <w:spacing w:after="200"/>
        <w:rPr>
          <w:lang w:val="en-GB"/>
        </w:rPr>
      </w:pPr>
      <w:r>
        <w:rPr>
          <w:color w:val="666666"/>
          <w:sz w:val="17"/>
          <w:szCs w:val="17"/>
          <w:lang w:val="en-GB"/>
        </w:rPr>
        <w:t>If your team lacks a student from a given field, someone else takes that role. Prompting AI about an unfamiliar domain is harder, but life is hard.</w:t>
      </w:r>
    </w:p>
    <w:p w14:paraId="58524C2A" w14:textId="2D041EA4" w:rsidR="009E110B" w:rsidRPr="0089365D" w:rsidRDefault="00000000">
      <w:pPr>
        <w:pStyle w:val="Ttulo1"/>
        <w:rPr>
          <w:lang w:val="en-GB"/>
        </w:rPr>
      </w:pPr>
      <w:r>
        <w:rPr>
          <w:lang w:val="en-GB"/>
        </w:rPr>
        <w:lastRenderedPageBreak/>
        <w:t>ROUND 3: Break the AI</w:t>
      </w:r>
    </w:p>
    <w:p w14:paraId="6840CB82" w14:textId="77777777" w:rsidR="009E110B" w:rsidRPr="0089365D" w:rsidRDefault="00000000">
      <w:pPr>
        <w:spacing w:after="160"/>
        <w:rPr>
          <w:lang w:val="en-GB"/>
        </w:rPr>
      </w:pPr>
      <w:r>
        <w:rPr>
          <w:b/>
          <w:bCs/>
          <w:lang w:val="en-GB"/>
        </w:rPr>
        <w:t xml:space="preserve">Task: </w:t>
      </w:r>
      <w:r>
        <w:rPr>
          <w:lang w:val="en-GB"/>
        </w:rPr>
        <w:t>Make the AI produce the most spectacular failure you can. Pick at least one of the following challenges: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9146"/>
      </w:tblGrid>
      <w:tr w:rsidR="009E110B" w:rsidRPr="0089365D" w14:paraId="14571547" w14:textId="77777777">
        <w:tc>
          <w:tcPr>
            <w:tcW w:w="600" w:type="dxa"/>
            <w:tcBorders>
              <w:top w:val="single" w:sz="1" w:space="0" w:color="CCCCCC"/>
              <w:bottom w:val="single" w:sz="1" w:space="0" w:color="CCCCCC"/>
            </w:tcBorders>
            <w:tcMar>
              <w:top w:w="80" w:type="dxa"/>
              <w:left w:w="120" w:type="dxa"/>
              <w:bottom w:w="80" w:type="dxa"/>
              <w:right w:w="120" w:type="dxa"/>
            </w:tcMar>
          </w:tcPr>
          <w:p w14:paraId="18CC3BC8" w14:textId="77777777" w:rsidR="009E110B" w:rsidRPr="0089365D" w:rsidRDefault="00000000">
            <w:pPr>
              <w:rPr>
                <w:lang w:val="en-GB"/>
              </w:rPr>
            </w:pPr>
            <w:r>
              <w:rPr>
                <w:b/>
                <w:bCs/>
                <w:color w:val="0077B6"/>
                <w:sz w:val="20"/>
                <w:szCs w:val="20"/>
                <w:lang w:val="en-GB"/>
              </w:rPr>
              <w:t>A</w:t>
            </w:r>
          </w:p>
        </w:tc>
        <w:tc>
          <w:tcPr>
            <w:tcW w:w="9146" w:type="dxa"/>
            <w:tcBorders>
              <w:top w:val="single" w:sz="1" w:space="0" w:color="CCCCCC"/>
              <w:bottom w:val="single" w:sz="1" w:space="0" w:color="CCCCCC"/>
            </w:tcBorders>
            <w:tcMar>
              <w:top w:w="80" w:type="dxa"/>
              <w:left w:w="120" w:type="dxa"/>
              <w:bottom w:w="80" w:type="dxa"/>
              <w:right w:w="120" w:type="dxa"/>
            </w:tcMar>
          </w:tcPr>
          <w:p w14:paraId="6E1E1D4D" w14:textId="77777777" w:rsidR="009E110B" w:rsidRPr="0089365D" w:rsidRDefault="00000000">
            <w:pPr>
              <w:rPr>
                <w:lang w:val="en-GB"/>
              </w:rPr>
            </w:pPr>
            <w:r>
              <w:rPr>
                <w:sz w:val="20"/>
                <w:szCs w:val="20"/>
                <w:lang w:val="en-GB"/>
              </w:rPr>
              <w:t>Get the AI to confidently state a false fact about your field of study</w:t>
            </w:r>
          </w:p>
        </w:tc>
      </w:tr>
      <w:tr w:rsidR="009E110B" w:rsidRPr="0089365D" w14:paraId="7791F30B" w14:textId="77777777">
        <w:tc>
          <w:tcPr>
            <w:tcW w:w="600" w:type="dxa"/>
            <w:tcBorders>
              <w:top w:val="single" w:sz="1" w:space="0" w:color="CCCCCC"/>
              <w:bottom w:val="single" w:sz="1" w:space="0" w:color="CCCCCC"/>
            </w:tcBorders>
            <w:tcMar>
              <w:top w:w="80" w:type="dxa"/>
              <w:left w:w="120" w:type="dxa"/>
              <w:bottom w:w="80" w:type="dxa"/>
              <w:right w:w="120" w:type="dxa"/>
            </w:tcMar>
          </w:tcPr>
          <w:p w14:paraId="6BD7F379" w14:textId="77777777" w:rsidR="009E110B" w:rsidRPr="0089365D" w:rsidRDefault="00000000">
            <w:pPr>
              <w:rPr>
                <w:lang w:val="en-GB"/>
              </w:rPr>
            </w:pPr>
            <w:r>
              <w:rPr>
                <w:b/>
                <w:bCs/>
                <w:color w:val="0077B6"/>
                <w:sz w:val="20"/>
                <w:szCs w:val="20"/>
                <w:lang w:val="en-GB"/>
              </w:rPr>
              <w:t>B</w:t>
            </w:r>
          </w:p>
        </w:tc>
        <w:tc>
          <w:tcPr>
            <w:tcW w:w="9146" w:type="dxa"/>
            <w:tcBorders>
              <w:top w:val="single" w:sz="1" w:space="0" w:color="CCCCCC"/>
              <w:bottom w:val="single" w:sz="1" w:space="0" w:color="CCCCCC"/>
            </w:tcBorders>
            <w:tcMar>
              <w:top w:w="80" w:type="dxa"/>
              <w:left w:w="120" w:type="dxa"/>
              <w:bottom w:w="80" w:type="dxa"/>
              <w:right w:w="120" w:type="dxa"/>
            </w:tcMar>
          </w:tcPr>
          <w:p w14:paraId="56A44904" w14:textId="77777777" w:rsidR="009E110B" w:rsidRPr="0089365D" w:rsidRDefault="00000000">
            <w:pPr>
              <w:rPr>
                <w:lang w:val="en-GB"/>
              </w:rPr>
            </w:pPr>
            <w:r>
              <w:rPr>
                <w:sz w:val="20"/>
                <w:szCs w:val="20"/>
                <w:lang w:val="en-GB"/>
              </w:rPr>
              <w:t>Get it to contradict itself within 3 messages</w:t>
            </w:r>
          </w:p>
        </w:tc>
      </w:tr>
      <w:tr w:rsidR="009E110B" w:rsidRPr="0089365D" w14:paraId="78F4BEDE" w14:textId="77777777">
        <w:tc>
          <w:tcPr>
            <w:tcW w:w="600" w:type="dxa"/>
            <w:tcBorders>
              <w:top w:val="single" w:sz="1" w:space="0" w:color="CCCCCC"/>
              <w:bottom w:val="single" w:sz="1" w:space="0" w:color="CCCCCC"/>
            </w:tcBorders>
            <w:tcMar>
              <w:top w:w="80" w:type="dxa"/>
              <w:left w:w="120" w:type="dxa"/>
              <w:bottom w:w="80" w:type="dxa"/>
              <w:right w:w="120" w:type="dxa"/>
            </w:tcMar>
          </w:tcPr>
          <w:p w14:paraId="3525EFF9" w14:textId="77777777" w:rsidR="009E110B" w:rsidRPr="0089365D" w:rsidRDefault="00000000">
            <w:pPr>
              <w:rPr>
                <w:lang w:val="en-GB"/>
              </w:rPr>
            </w:pPr>
            <w:r>
              <w:rPr>
                <w:b/>
                <w:bCs/>
                <w:color w:val="0077B6"/>
                <w:sz w:val="20"/>
                <w:szCs w:val="20"/>
                <w:lang w:val="en-GB"/>
              </w:rPr>
              <w:t>C</w:t>
            </w:r>
          </w:p>
        </w:tc>
        <w:tc>
          <w:tcPr>
            <w:tcW w:w="9146" w:type="dxa"/>
            <w:tcBorders>
              <w:top w:val="single" w:sz="1" w:space="0" w:color="CCCCCC"/>
              <w:bottom w:val="single" w:sz="1" w:space="0" w:color="CCCCCC"/>
            </w:tcBorders>
            <w:tcMar>
              <w:top w:w="80" w:type="dxa"/>
              <w:left w:w="120" w:type="dxa"/>
              <w:bottom w:w="80" w:type="dxa"/>
              <w:right w:w="120" w:type="dxa"/>
            </w:tcMar>
          </w:tcPr>
          <w:p w14:paraId="0B73EA6B" w14:textId="77777777" w:rsidR="009E110B" w:rsidRPr="0089365D" w:rsidRDefault="00000000">
            <w:pPr>
              <w:rPr>
                <w:lang w:val="en-GB"/>
              </w:rPr>
            </w:pPr>
            <w:r>
              <w:rPr>
                <w:sz w:val="20"/>
                <w:szCs w:val="20"/>
                <w:lang w:val="en-GB"/>
              </w:rPr>
              <w:t>Get it to agree with a clearly wrong premise (e.g., “Water boils at 50 °C at sea level, right?”)</w:t>
            </w:r>
          </w:p>
        </w:tc>
      </w:tr>
      <w:tr w:rsidR="009E110B" w:rsidRPr="0089365D" w14:paraId="0E1E8CA2" w14:textId="77777777">
        <w:tc>
          <w:tcPr>
            <w:tcW w:w="600" w:type="dxa"/>
            <w:tcBorders>
              <w:top w:val="single" w:sz="1" w:space="0" w:color="CCCCCC"/>
              <w:bottom w:val="single" w:sz="1" w:space="0" w:color="CCCCCC"/>
            </w:tcBorders>
            <w:tcMar>
              <w:top w:w="80" w:type="dxa"/>
              <w:left w:w="120" w:type="dxa"/>
              <w:bottom w:w="80" w:type="dxa"/>
              <w:right w:w="120" w:type="dxa"/>
            </w:tcMar>
          </w:tcPr>
          <w:p w14:paraId="604B4D19" w14:textId="77777777" w:rsidR="009E110B" w:rsidRPr="0089365D" w:rsidRDefault="00000000">
            <w:pPr>
              <w:rPr>
                <w:lang w:val="en-GB"/>
              </w:rPr>
            </w:pPr>
            <w:r>
              <w:rPr>
                <w:b/>
                <w:bCs/>
                <w:color w:val="0077B6"/>
                <w:sz w:val="20"/>
                <w:szCs w:val="20"/>
                <w:lang w:val="en-GB"/>
              </w:rPr>
              <w:t>D</w:t>
            </w:r>
          </w:p>
        </w:tc>
        <w:tc>
          <w:tcPr>
            <w:tcW w:w="9146" w:type="dxa"/>
            <w:tcBorders>
              <w:top w:val="single" w:sz="1" w:space="0" w:color="CCCCCC"/>
              <w:bottom w:val="single" w:sz="1" w:space="0" w:color="CCCCCC"/>
            </w:tcBorders>
            <w:tcMar>
              <w:top w:w="80" w:type="dxa"/>
              <w:left w:w="120" w:type="dxa"/>
              <w:bottom w:w="80" w:type="dxa"/>
              <w:right w:w="120" w:type="dxa"/>
            </w:tcMar>
          </w:tcPr>
          <w:p w14:paraId="43D99B10" w14:textId="77777777" w:rsidR="009E110B" w:rsidRPr="0089365D" w:rsidRDefault="00000000">
            <w:pPr>
              <w:rPr>
                <w:lang w:val="en-GB"/>
              </w:rPr>
            </w:pPr>
            <w:r>
              <w:rPr>
                <w:sz w:val="20"/>
                <w:szCs w:val="20"/>
                <w:lang w:val="en-GB"/>
              </w:rPr>
              <w:t>Get it to produce a completely useless answer to a reasonable question</w:t>
            </w:r>
          </w:p>
        </w:tc>
      </w:tr>
    </w:tbl>
    <w:p w14:paraId="4505D1D5" w14:textId="77777777" w:rsidR="009E110B" w:rsidRPr="0089365D" w:rsidRDefault="009E110B">
      <w:pPr>
        <w:spacing w:after="80"/>
        <w:rPr>
          <w:lang w:val="en-GB"/>
        </w:rPr>
      </w:pPr>
    </w:p>
    <w:p w14:paraId="0B4FADF3" w14:textId="13ECED0A" w:rsidR="009E110B" w:rsidRPr="0089365D" w:rsidRDefault="00000000">
      <w:pPr>
        <w:rPr>
          <w:lang w:val="en-GB"/>
        </w:rPr>
      </w:pPr>
      <w:r>
        <w:rPr>
          <w:b/>
          <w:bCs/>
          <w:lang w:val="en-GB"/>
        </w:rPr>
        <w:t>Screenshot your best failure and upload it to the Padlet wall: https://tinyurl.com/bip-ai-work-pad</w:t>
      </w:r>
    </w:p>
    <w:sectPr w:rsidR="009E110B" w:rsidRPr="0089365D">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3E62E8"/>
    <w:multiLevelType w:val="hybridMultilevel"/>
    <w:tmpl w:val="7772B2AE"/>
    <w:lvl w:ilvl="0" w:tplc="6E46167C">
      <w:start w:val="1"/>
      <w:numFmt w:val="bullet"/>
      <w:lvlText w:val="●"/>
      <w:lvlJc w:val="left"/>
      <w:pPr>
        <w:ind w:left="720" w:hanging="360"/>
      </w:pPr>
    </w:lvl>
    <w:lvl w:ilvl="1" w:tplc="ED5207A0">
      <w:start w:val="1"/>
      <w:numFmt w:val="bullet"/>
      <w:lvlText w:val="○"/>
      <w:lvlJc w:val="left"/>
      <w:pPr>
        <w:ind w:left="1440" w:hanging="360"/>
      </w:pPr>
    </w:lvl>
    <w:lvl w:ilvl="2" w:tplc="CF708076">
      <w:start w:val="1"/>
      <w:numFmt w:val="bullet"/>
      <w:lvlText w:val="■"/>
      <w:lvlJc w:val="left"/>
      <w:pPr>
        <w:ind w:left="2160" w:hanging="360"/>
      </w:pPr>
    </w:lvl>
    <w:lvl w:ilvl="3" w:tplc="AD52AC4E">
      <w:start w:val="1"/>
      <w:numFmt w:val="bullet"/>
      <w:lvlText w:val="●"/>
      <w:lvlJc w:val="left"/>
      <w:pPr>
        <w:ind w:left="2880" w:hanging="360"/>
      </w:pPr>
    </w:lvl>
    <w:lvl w:ilvl="4" w:tplc="C5AE517A">
      <w:start w:val="1"/>
      <w:numFmt w:val="bullet"/>
      <w:lvlText w:val="○"/>
      <w:lvlJc w:val="left"/>
      <w:pPr>
        <w:ind w:left="3600" w:hanging="360"/>
      </w:pPr>
    </w:lvl>
    <w:lvl w:ilvl="5" w:tplc="075244B6">
      <w:start w:val="1"/>
      <w:numFmt w:val="bullet"/>
      <w:lvlText w:val="■"/>
      <w:lvlJc w:val="left"/>
      <w:pPr>
        <w:ind w:left="4320" w:hanging="360"/>
      </w:pPr>
    </w:lvl>
    <w:lvl w:ilvl="6" w:tplc="45EAB0FA">
      <w:start w:val="1"/>
      <w:numFmt w:val="bullet"/>
      <w:lvlText w:val="●"/>
      <w:lvlJc w:val="left"/>
      <w:pPr>
        <w:ind w:left="5040" w:hanging="360"/>
      </w:pPr>
    </w:lvl>
    <w:lvl w:ilvl="7" w:tplc="D85A73FE">
      <w:start w:val="1"/>
      <w:numFmt w:val="bullet"/>
      <w:lvlText w:val="●"/>
      <w:lvlJc w:val="left"/>
      <w:pPr>
        <w:ind w:left="5760" w:hanging="360"/>
      </w:pPr>
    </w:lvl>
    <w:lvl w:ilvl="8" w:tplc="72A0EF60">
      <w:start w:val="1"/>
      <w:numFmt w:val="bullet"/>
      <w:lvlText w:val="●"/>
      <w:lvlJc w:val="left"/>
      <w:pPr>
        <w:ind w:left="6480" w:hanging="360"/>
      </w:pPr>
    </w:lvl>
  </w:abstractNum>
  <w:num w:numId="1" w16cid:durableId="6630955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10B"/>
    <w:rsid w:val="00495B6E"/>
    <w:rsid w:val="007E7325"/>
    <w:rsid w:val="0089365D"/>
    <w:rsid w:val="008B5AD9"/>
    <w:rsid w:val="009E110B"/>
    <w:rsid w:val="009E6D72"/>
    <w:rsid w:val="00AE7F3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16496263"/>
  <w15:docId w15:val="{164BAE77-6F82-AA4B-BEA0-8047C2AAE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60"/>
      <w:outlineLvl w:val="0"/>
    </w:pPr>
    <w:rPr>
      <w:b/>
      <w:bCs/>
      <w:color w:val="0077B6"/>
      <w:sz w:val="32"/>
      <w:szCs w:val="32"/>
    </w:rPr>
  </w:style>
  <w:style w:type="paragraph" w:styleId="Ttulo2">
    <w:name w:val="heading 2"/>
    <w:uiPriority w:val="9"/>
    <w:unhideWhenUsed/>
    <w:qFormat/>
    <w:pPr>
      <w:spacing w:before="200" w:after="100"/>
      <w:outlineLvl w:val="1"/>
    </w:pPr>
    <w:rPr>
      <w:b/>
      <w:bCs/>
      <w:color w:val="1A1A2E"/>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644</Words>
  <Characters>3547</Characters>
  <Application>Microsoft Office Word</Application>
  <DocSecurity>0</DocSecurity>
  <Lines>29</Lines>
  <Paragraphs>8</Paragraphs>
  <ScaleCrop>false</ScaleCrop>
  <Company/>
  <LinksUpToDate>false</LinksUpToDate>
  <CharactersWithSpaces>4183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Jesús Izquierdo Doménech</cp:lastModifiedBy>
  <cp:revision>6</cp:revision>
  <dcterms:created xsi:type="dcterms:W3CDTF">2026-02-14T20:22:00Z</dcterms:created>
  <dcterms:modified xsi:type="dcterms:W3CDTF">2026-02-15T11:40:00Z</dcterms:modified>
</cp:coreProperties>
</file>