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2AFC5">
      <w:pPr>
        <w:rPr>
          <w:rFonts w:hint="default"/>
          <w:lang w:val="en-US" w:eastAsia="zh-CN"/>
        </w:rPr>
      </w:pPr>
      <w:r>
        <w:rPr>
          <w:rFonts w:hint="default"/>
          <w:lang w:val="en-US" w:eastAsia="zh-CN"/>
        </w:rPr>
        <w:drawing>
          <wp:inline distT="0" distB="0" distL="114300" distR="114300">
            <wp:extent cx="2825115" cy="848360"/>
            <wp:effectExtent l="0" t="0" r="0" b="0"/>
            <wp:docPr id="6" name="图片 6" descr="d058ccbf6c81800ae2b41e68bf3533fa828b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058ccbf6c81800ae2b41e68bf3533fa828b4707"/>
                    <pic:cNvPicPr>
                      <a:picLocks noChangeAspect="1"/>
                    </pic:cNvPicPr>
                  </pic:nvPicPr>
                  <pic:blipFill>
                    <a:blip r:embed="rId5"/>
                    <a:stretch>
                      <a:fillRect/>
                    </a:stretch>
                  </pic:blipFill>
                  <pic:spPr>
                    <a:xfrm>
                      <a:off x="0" y="0"/>
                      <a:ext cx="2825115" cy="848360"/>
                    </a:xfrm>
                    <a:prstGeom prst="rect">
                      <a:avLst/>
                    </a:prstGeom>
                  </pic:spPr>
                </pic:pic>
              </a:graphicData>
            </a:graphic>
          </wp:inline>
        </w:drawing>
      </w:r>
    </w:p>
    <w:p w14:paraId="78F18B60">
      <w:pPr>
        <w:rPr>
          <w:rFonts w:hint="default"/>
          <w:lang w:val="en-US" w:eastAsia="zh-CN"/>
        </w:rPr>
      </w:pPr>
    </w:p>
    <w:p w14:paraId="204FE355">
      <w:pPr>
        <w:rPr>
          <w:rFonts w:hint="default"/>
          <w:lang w:val="en-US" w:eastAsia="zh-CN"/>
        </w:rPr>
      </w:pPr>
    </w:p>
    <w:p w14:paraId="27AF9D27">
      <w:pPr>
        <w:rPr>
          <w:rFonts w:hint="default"/>
          <w:lang w:val="en-US" w:eastAsia="zh-CN"/>
        </w:rPr>
      </w:pPr>
    </w:p>
    <w:p w14:paraId="24D9344C">
      <w:pPr>
        <w:rPr>
          <w:rFonts w:hint="default"/>
          <w:lang w:val="en-US" w:eastAsia="zh-CN"/>
        </w:rPr>
      </w:pPr>
    </w:p>
    <w:p w14:paraId="17D51017">
      <w:pPr>
        <w:rPr>
          <w:rFonts w:hint="default"/>
          <w:lang w:val="en-US" w:eastAsia="zh-CN"/>
        </w:rPr>
      </w:pPr>
    </w:p>
    <w:p w14:paraId="0628D94E">
      <w:pPr>
        <w:rPr>
          <w:rFonts w:hint="default"/>
          <w:lang w:val="en-US" w:eastAsia="zh-CN"/>
        </w:rPr>
      </w:pPr>
    </w:p>
    <w:p w14:paraId="6A0E1B53">
      <w:pPr>
        <w:rPr>
          <w:rFonts w:hint="default"/>
          <w:lang w:val="en-US" w:eastAsia="zh-CN"/>
        </w:rPr>
      </w:pPr>
    </w:p>
    <w:p w14:paraId="534777AD">
      <w:pPr>
        <w:rPr>
          <w:rFonts w:hint="default"/>
          <w:sz w:val="64"/>
          <w:szCs w:val="64"/>
          <w:lang w:val="en-US" w:eastAsia="zh-CN"/>
        </w:rPr>
      </w:pPr>
    </w:p>
    <w:p w14:paraId="3B085C97">
      <w:pPr>
        <w:keepNext w:val="0"/>
        <w:keepLines w:val="0"/>
        <w:pageBreakBefore w:val="0"/>
        <w:widowControl w:val="0"/>
        <w:kinsoku/>
        <w:wordWrap/>
        <w:overflowPunct/>
        <w:topLinePunct w:val="0"/>
        <w:autoSpaceDE/>
        <w:autoSpaceDN/>
        <w:bidi w:val="0"/>
        <w:adjustRightInd w:val="0"/>
        <w:snapToGrid w:val="0"/>
        <w:textAlignment w:val="auto"/>
        <w:rPr>
          <w:rFonts w:hint="default" w:ascii="微软雅黑" w:hAnsi="微软雅黑" w:eastAsia="微软雅黑" w:cs="微软雅黑"/>
          <w:b/>
          <w:bCs/>
          <w:color w:val="233BB4"/>
          <w:sz w:val="64"/>
          <w:szCs w:val="64"/>
          <w:lang w:val="en-US"/>
        </w:rPr>
      </w:pPr>
      <w:sdt>
        <w:sdtPr>
          <w:rPr>
            <w:rFonts w:hint="eastAsia" w:ascii="微软雅黑" w:hAnsi="微软雅黑" w:eastAsia="微软雅黑" w:cs="微软雅黑"/>
            <w:b/>
            <w:bCs/>
            <w:color w:val="2E54A1" w:themeColor="accent1" w:themeShade="BF"/>
            <w:kern w:val="2"/>
            <w:sz w:val="64"/>
            <w:szCs w:val="64"/>
            <w:lang w:val="en-US" w:eastAsia="zh-CN" w:bidi="ar-SA"/>
          </w:rPr>
          <w:id w:val="147475632"/>
          <w:placeholder>
            <w:docPart w:val="{004d84d9-7eb5-49e9-b4a2-34b6dab6211d}"/>
          </w:placeholder>
          <w:dataBinding w:prefixMappings="xmlns:ns0='http://purl.org/dc/elements/1.1/' xmlns:ns1='http://schemas.openxmlformats.org/package/2006/metadata/core-properties' " w:xpath="/ns1:coreProperties[1]/ns0:title[1]" w:storeItemID="{6C3C8BC8-F283-45AE-878A-BAB7291924A1}"/>
          <w:text/>
        </w:sdtPr>
        <w:sdtEndPr>
          <w:rPr>
            <w:rFonts w:hint="default" w:ascii="微软雅黑" w:hAnsi="微软雅黑" w:eastAsia="微软雅黑" w:cs="微软雅黑"/>
            <w:b/>
            <w:bCs/>
            <w:color w:val="233BB4"/>
            <w:kern w:val="2"/>
            <w:sz w:val="64"/>
            <w:szCs w:val="64"/>
            <w:lang w:val="en-US" w:eastAsia="zh-CN" w:bidi="ar-SA"/>
          </w:rPr>
        </w:sdtEndPr>
        <w:sdtContent>
          <w:r>
            <w:rPr>
              <w:rFonts w:hint="eastAsia" w:ascii="微软雅黑" w:hAnsi="微软雅黑" w:eastAsia="微软雅黑" w:cs="微软雅黑"/>
              <w:b/>
              <w:bCs/>
              <w:color w:val="233BB4"/>
              <w:kern w:val="2"/>
              <w:sz w:val="44"/>
              <w:szCs w:val="44"/>
              <w:lang w:val="en-US" w:eastAsia="zh-CN" w:bidi="ar-SA"/>
            </w:rPr>
            <w:t>基于AI的低空无线环境认知与风险预测</w:t>
          </w:r>
        </w:sdtContent>
      </w:sdt>
    </w:p>
    <w:p w14:paraId="44274035">
      <w:pPr>
        <w:bidi w:val="0"/>
        <w:jc w:val="left"/>
        <w:rPr>
          <w:rFonts w:hint="eastAsia" w:ascii="微软雅黑" w:hAnsi="微软雅黑" w:eastAsia="微软雅黑" w:cs="微软雅黑"/>
          <w:b/>
          <w:bCs/>
          <w:kern w:val="2"/>
          <w:sz w:val="44"/>
          <w:szCs w:val="44"/>
          <w:lang w:val="en-US" w:eastAsia="zh-CN" w:bidi="ar-SA"/>
        </w:rPr>
      </w:pPr>
      <w:r>
        <w:rPr>
          <w:rFonts w:hint="eastAsia" w:ascii="微软雅黑" w:hAnsi="微软雅黑" w:eastAsia="微软雅黑" w:cs="微软雅黑"/>
          <w:b/>
          <w:bCs/>
          <w:color w:val="233BB4"/>
          <w:kern w:val="2"/>
          <w:sz w:val="44"/>
          <w:szCs w:val="44"/>
          <w:lang w:val="en-US" w:eastAsia="zh-CN" w:bidi="ar-SA"/>
        </w:rPr>
        <w:t>原型系统</w:t>
      </w:r>
      <w:r>
        <w:rPr>
          <w:rFonts w:hint="eastAsia" w:ascii="微软雅黑" w:hAnsi="微软雅黑" w:eastAsia="微软雅黑" w:cs="微软雅黑"/>
          <w:b/>
          <w:bCs/>
          <w:kern w:val="2"/>
          <w:sz w:val="44"/>
          <w:szCs w:val="44"/>
          <w:lang w:val="en-US" w:eastAsia="zh-CN" w:bidi="ar-SA"/>
        </w:rPr>
        <w:t xml:space="preserve"> </w:t>
      </w:r>
    </w:p>
    <w:p w14:paraId="0B633135">
      <w:pPr>
        <w:bidi w:val="0"/>
        <w:jc w:val="left"/>
        <w:rPr>
          <w:rFonts w:hint="default"/>
          <w:sz w:val="40"/>
          <w:szCs w:val="40"/>
          <w:lang w:val="en-US" w:eastAsia="zh-CN"/>
        </w:rPr>
      </w:pPr>
      <w:r>
        <w:rPr>
          <w:rFonts w:hint="eastAsia" w:ascii="微软雅黑" w:hAnsi="微软雅黑" w:eastAsia="微软雅黑" w:cs="微软雅黑"/>
          <w:b/>
          <w:bCs/>
          <w:kern w:val="2"/>
          <w:sz w:val="40"/>
          <w:szCs w:val="40"/>
          <w:lang w:val="en-US" w:eastAsia="zh-CN" w:bidi="ar-SA"/>
        </w:rPr>
        <w:t>实验报告</w:t>
      </w:r>
    </w:p>
    <w:p w14:paraId="3F7AEE73">
      <w:pPr>
        <w:bidi w:val="0"/>
        <w:ind w:firstLine="340" w:firstLineChars="0"/>
        <w:jc w:val="left"/>
        <w:rPr>
          <w:rFonts w:hint="default"/>
          <w:lang w:val="en-US" w:eastAsia="zh-CN"/>
        </w:rPr>
      </w:pPr>
    </w:p>
    <w:p w14:paraId="617254AC">
      <w:pPr>
        <w:bidi w:val="0"/>
        <w:ind w:firstLine="340" w:firstLineChars="0"/>
        <w:jc w:val="left"/>
        <w:rPr>
          <w:rFonts w:hint="default"/>
          <w:lang w:val="en-US" w:eastAsia="zh-CN"/>
        </w:rPr>
      </w:pPr>
    </w:p>
    <w:p w14:paraId="6FF3D69C">
      <w:pPr>
        <w:bidi w:val="0"/>
        <w:ind w:firstLine="340" w:firstLineChars="0"/>
        <w:jc w:val="left"/>
        <w:rPr>
          <w:rFonts w:hint="default"/>
          <w:lang w:val="en-US" w:eastAsia="zh-CN"/>
        </w:rPr>
      </w:pPr>
    </w:p>
    <w:p w14:paraId="3648F4CE">
      <w:pPr>
        <w:bidi w:val="0"/>
        <w:jc w:val="left"/>
        <w:rPr>
          <w:rFonts w:hint="default"/>
          <w:lang w:val="en-US" w:eastAsia="zh-CN"/>
        </w:rPr>
      </w:pPr>
    </w:p>
    <w:p w14:paraId="0ACD872D">
      <w:pPr>
        <w:bidi w:val="0"/>
        <w:jc w:val="left"/>
        <w:rPr>
          <w:rFonts w:hint="default"/>
          <w:lang w:val="en-US" w:eastAsia="zh-CN"/>
        </w:rPr>
      </w:pPr>
      <w:r>
        <w:drawing>
          <wp:anchor distT="0" distB="0" distL="114300" distR="114300" simplePos="0" relativeHeight="251660288" behindDoc="1" locked="0" layoutInCell="1" allowOverlap="1">
            <wp:simplePos x="0" y="0"/>
            <wp:positionH relativeFrom="margin">
              <wp:posOffset>2401570</wp:posOffset>
            </wp:positionH>
            <wp:positionV relativeFrom="page">
              <wp:posOffset>6876415</wp:posOffset>
            </wp:positionV>
            <wp:extent cx="3132455" cy="3147060"/>
            <wp:effectExtent l="0" t="0" r="4445" b="2540"/>
            <wp:wrapNone/>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132455" cy="3147060"/>
                    </a:xfrm>
                    <a:prstGeom prst="rect">
                      <a:avLst/>
                    </a:prstGeom>
                  </pic:spPr>
                </pic:pic>
              </a:graphicData>
            </a:graphic>
          </wp:anchor>
        </w:drawing>
      </w:r>
    </w:p>
    <w:p w14:paraId="78FECA3D">
      <w:pPr>
        <w:bidi w:val="0"/>
        <w:jc w:val="left"/>
        <w:rPr>
          <w:rFonts w:hint="default"/>
          <w:lang w:val="en-US" w:eastAsia="zh-CN"/>
        </w:rPr>
      </w:pPr>
    </w:p>
    <w:p w14:paraId="16E2AF53">
      <w:pPr>
        <w:rPr>
          <w:rFonts w:hint="eastAsia" w:ascii="微软雅黑" w:hAnsi="微软雅黑" w:eastAsia="微软雅黑" w:cs="微软雅黑"/>
          <w:kern w:val="2"/>
          <w:sz w:val="36"/>
          <w:szCs w:val="36"/>
          <w:lang w:val="en-US" w:eastAsia="zh-CN" w:bidi="ar-SA"/>
        </w:rPr>
      </w:pPr>
    </w:p>
    <w:p w14:paraId="34159933">
      <w:pPr>
        <w:rPr>
          <w:rFonts w:hint="eastAsia" w:ascii="微软雅黑" w:hAnsi="微软雅黑" w:eastAsia="微软雅黑" w:cs="微软雅黑"/>
          <w:color w:val="000000" w:themeColor="text1"/>
          <w:kern w:val="2"/>
          <w:sz w:val="36"/>
          <w:szCs w:val="36"/>
          <w:lang w:val="en-US" w:eastAsia="zh-CN" w:bidi="ar-SA"/>
          <w14:textFill>
            <w14:solidFill>
              <w14:schemeClr w14:val="tx1"/>
            </w14:solidFill>
          </w14:textFill>
        </w:rPr>
      </w:pPr>
    </w:p>
    <w:p w14:paraId="58ACA8E1">
      <w:pPr>
        <w:rPr>
          <w:rFonts w:hint="eastAsia" w:ascii="微软雅黑" w:hAnsi="微软雅黑" w:eastAsia="微软雅黑" w:cs="微软雅黑"/>
          <w:kern w:val="2"/>
          <w:sz w:val="36"/>
          <w:szCs w:val="36"/>
          <w:lang w:val="en-US" w:eastAsia="zh-CN" w:bidi="ar-SA"/>
        </w:rPr>
      </w:pPr>
      <w:r>
        <w:rPr>
          <w:rFonts w:hint="eastAsia" w:ascii="微软雅黑" w:hAnsi="微软雅黑" w:eastAsia="微软雅黑" w:cs="微软雅黑"/>
          <w:kern w:val="2"/>
          <w:sz w:val="36"/>
          <w:szCs w:val="36"/>
          <w:lang w:val="en-US" w:eastAsia="zh-CN" w:bidi="ar-SA"/>
        </w:rPr>
        <w:t>报 告 人：阮辅强</w:t>
      </w:r>
    </w:p>
    <w:p w14:paraId="0766C3B7">
      <w:pPr>
        <w:rPr>
          <w:rFonts w:hint="default" w:ascii="微软雅黑" w:hAnsi="微软雅黑" w:eastAsia="微软雅黑" w:cs="微软雅黑"/>
          <w:kern w:val="2"/>
          <w:sz w:val="36"/>
          <w:szCs w:val="36"/>
          <w:lang w:val="en-US" w:eastAsia="zh-CN" w:bidi="ar-SA"/>
        </w:rPr>
      </w:pPr>
      <w:r>
        <w:rPr>
          <w:rFonts w:hint="eastAsia" w:ascii="微软雅黑" w:hAnsi="微软雅黑" w:eastAsia="微软雅黑" w:cs="微软雅黑"/>
          <w:kern w:val="2"/>
          <w:sz w:val="36"/>
          <w:szCs w:val="36"/>
          <w:lang w:val="en-US" w:eastAsia="zh-CN" w:bidi="ar-SA"/>
        </w:rPr>
        <w:t>学    号：2024211521</w:t>
      </w:r>
    </w:p>
    <w:p w14:paraId="5FE1EA9C">
      <w:pPr>
        <w:rPr>
          <w:rFonts w:hint="default" w:ascii="微软雅黑" w:hAnsi="微软雅黑" w:eastAsia="微软雅黑" w:cs="微软雅黑"/>
          <w:kern w:val="2"/>
          <w:sz w:val="36"/>
          <w:szCs w:val="36"/>
          <w:lang w:val="en-US" w:eastAsia="zh-CN" w:bidi="ar-SA"/>
        </w:rPr>
      </w:pPr>
      <w:r>
        <w:rPr>
          <w:rFonts w:hint="eastAsia" w:ascii="微软雅黑" w:hAnsi="微软雅黑" w:eastAsia="微软雅黑" w:cs="微软雅黑"/>
          <w:kern w:val="2"/>
          <w:sz w:val="36"/>
          <w:szCs w:val="36"/>
          <w:lang w:val="en-US" w:eastAsia="zh-CN" w:bidi="ar-SA"/>
        </w:rPr>
        <w:t>班    级：2024211803</w:t>
      </w:r>
    </w:p>
    <w:p w14:paraId="7ADA4A76">
      <w:pPr>
        <w:rPr>
          <w:rFonts w:hint="default" w:ascii="微软雅黑" w:hAnsi="微软雅黑" w:eastAsia="微软雅黑" w:cs="微软雅黑"/>
          <w:kern w:val="2"/>
          <w:sz w:val="36"/>
          <w:szCs w:val="36"/>
          <w:lang w:val="en-US" w:eastAsia="zh-CN" w:bidi="ar-SA"/>
        </w:rPr>
        <w:sectPr>
          <w:pgSz w:w="11906" w:h="16838"/>
          <w:pgMar w:top="1440" w:right="1800" w:bottom="1440" w:left="1800" w:header="851" w:footer="992" w:gutter="0"/>
          <w:cols w:space="425" w:num="1"/>
          <w:docGrid w:type="lines" w:linePitch="312" w:charSpace="0"/>
        </w:sectPr>
      </w:pPr>
      <w:r>
        <w:rPr>
          <w:rFonts w:hint="eastAsia" w:ascii="微软雅黑" w:hAnsi="微软雅黑" w:eastAsia="微软雅黑" w:cs="微软雅黑"/>
          <w:kern w:val="2"/>
          <w:sz w:val="36"/>
          <w:szCs w:val="36"/>
          <w:lang w:val="en-US" w:eastAsia="zh-CN" w:bidi="ar-SA"/>
        </w:rPr>
        <w:t>报告日期：2026年10月25日</w:t>
      </w:r>
    </w:p>
    <w:p w14:paraId="6ACE8AA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18"/>
          <w:szCs w:val="18"/>
          <w:lang w:val="en-US" w:eastAsia="zh-CN"/>
        </w:rPr>
      </w:pPr>
      <w:sdt>
        <w:sdtPr>
          <w:rPr>
            <w:rFonts w:asciiTheme="minorHAnsi" w:hAnsiTheme="minorHAnsi" w:eastAsiaTheme="minorEastAsia" w:cstheme="minorBidi"/>
            <w:kern w:val="2"/>
            <w:sz w:val="21"/>
            <w:szCs w:val="22"/>
            <w:lang w:val="en-US" w:eastAsia="zh-CN" w:bidi="ar-SA"/>
          </w:rPr>
          <w:id w:val="147455846"/>
          <w:placeholder>
            <w:docPart w:val="{7b373e39-2b96-4f79-b92e-cbdfef2754ea}"/>
          </w:placeholder>
          <w:dataBinding w:prefixMappings="xmlns:ns0='http://purl.org/dc/elements/1.1/' xmlns:ns1='http://schemas.openxmlformats.org/package/2006/metadata/core-properties' " w:xpath="/ns1:coreProperties[1]/ns0:title[1]" w:storeItemID="{6C3C8BC8-F283-45AE-878A-BAB7291924A1}"/>
          <w:text/>
        </w:sdtPr>
        <w:sdtEndPr>
          <w:rPr>
            <w:rFonts w:hint="eastAsia" w:ascii="宋体" w:hAnsi="宋体" w:eastAsia="宋体" w:cs="宋体"/>
            <w:kern w:val="2"/>
            <w:sz w:val="18"/>
            <w:szCs w:val="18"/>
            <w:lang w:val="en-US" w:eastAsia="zh-CN" w:bidi="ar-SA"/>
          </w:rPr>
        </w:sdtEndPr>
        <w:sdtContent>
          <w:r>
            <w:rPr>
              <w:rFonts w:hint="eastAsia" w:cstheme="minorBidi"/>
              <w:kern w:val="2"/>
              <w:sz w:val="18"/>
              <w:szCs w:val="18"/>
              <w:lang w:val="en-US" w:eastAsia="zh-CN" w:bidi="ar-SA"/>
            </w:rPr>
            <w:t>基于AI的低空无线环境认知与风险预测</w:t>
          </w:r>
        </w:sdtContent>
      </w:sdt>
      <w:r>
        <w:rPr>
          <w:rFonts w:hint="eastAsia" w:ascii="宋体" w:hAnsi="宋体" w:eastAsia="宋体" w:cs="宋体"/>
          <w:kern w:val="2"/>
          <w:sz w:val="18"/>
          <w:szCs w:val="18"/>
          <w:lang w:val="en-US" w:eastAsia="zh-CN" w:bidi="ar-SA"/>
        </w:rPr>
        <w:t>实验报告(</w:t>
      </w:r>
      <w:r>
        <w:rPr>
          <w:rFonts w:hint="eastAsia" w:ascii="宋体" w:hAnsi="宋体" w:eastAsia="宋体" w:cs="宋体"/>
          <w:sz w:val="18"/>
          <w:szCs w:val="18"/>
          <w:lang w:val="en-US" w:eastAsia="zh-CN"/>
        </w:rPr>
        <w:t>2026-2027-1)</w:t>
      </w:r>
    </w:p>
    <w:p w14:paraId="05D31CE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宋体" w:hAnsi="宋体" w:eastAsia="宋体" w:cs="宋体"/>
          <w:sz w:val="18"/>
          <w:szCs w:val="18"/>
          <w:lang w:val="en-US" w:eastAsia="zh-CN"/>
        </w:rPr>
      </w:pPr>
    </w:p>
    <w:p w14:paraId="58105CD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宋体" w:hAnsi="宋体" w:eastAsia="宋体" w:cs="宋体"/>
          <w:sz w:val="18"/>
          <w:szCs w:val="18"/>
          <w:lang w:val="en-US" w:eastAsia="zh-CN"/>
        </w:rPr>
      </w:pPr>
    </w:p>
    <w:p w14:paraId="333191E2">
      <w:pPr>
        <w:pStyle w:val="13"/>
        <w:spacing w:before="0" w:after="0" w:line="240" w:lineRule="auto"/>
        <w:jc w:val="center"/>
        <w:rPr>
          <w:rFonts w:hint="default"/>
          <w:sz w:val="28"/>
          <w:szCs w:val="28"/>
          <w:lang w:val="en-US" w:eastAsia="zh-CN"/>
        </w:rPr>
      </w:pPr>
      <w:r>
        <w:rPr>
          <w:rFonts w:hint="eastAsia" w:ascii="楷体" w:hAnsi="楷体" w:eastAsia="楷体" w:cs="楷体"/>
          <w:b/>
          <w:bCs/>
          <w:sz w:val="28"/>
          <w:szCs w:val="28"/>
          <w:lang w:val="en-US" w:eastAsia="zh-CN"/>
        </w:rPr>
        <w:t>基于</w:t>
      </w:r>
      <w:r>
        <w:rPr>
          <w:rFonts w:hint="eastAsia" w:ascii="楷体" w:hAnsi="楷体" w:eastAsia="楷体" w:cs="楷体"/>
          <w:b/>
          <w:bCs/>
          <w:sz w:val="28"/>
          <w:szCs w:val="28"/>
        </w:rPr>
        <w:t xml:space="preserve"> </w:t>
      </w:r>
      <w:r>
        <w:rPr>
          <w:rFonts w:hint="default" w:ascii="Arial" w:hAnsi="Arial" w:eastAsia="楷体" w:cs="Arial"/>
          <w:b/>
          <w:bCs/>
          <w:sz w:val="24"/>
          <w:szCs w:val="24"/>
        </w:rPr>
        <w:t>AI</w:t>
      </w:r>
      <w:r>
        <w:rPr>
          <w:rFonts w:hint="eastAsia" w:ascii="楷体" w:hAnsi="楷体" w:eastAsia="楷体" w:cs="楷体"/>
          <w:b/>
          <w:bCs/>
          <w:sz w:val="28"/>
          <w:szCs w:val="28"/>
        </w:rPr>
        <w:t xml:space="preserve"> 的低空</w:t>
      </w:r>
      <w:r>
        <w:rPr>
          <w:rFonts w:hint="eastAsia" w:ascii="楷体" w:hAnsi="楷体" w:eastAsia="楷体" w:cs="楷体"/>
          <w:b/>
          <w:bCs/>
          <w:sz w:val="28"/>
          <w:szCs w:val="28"/>
          <w:lang w:val="en-US" w:eastAsia="zh-CN"/>
        </w:rPr>
        <w:t>无线环境认知与风险预测 原型系统 实验</w:t>
      </w:r>
      <w:r>
        <w:rPr>
          <w:rFonts w:hint="eastAsia" w:ascii="楷体" w:hAnsi="楷体" w:eastAsia="楷体" w:cs="楷体"/>
          <w:b/>
          <w:bCs/>
          <w:sz w:val="28"/>
          <w:szCs w:val="28"/>
          <w:lang w:eastAsia="zh-CN"/>
        </w:rPr>
        <w:t>报告</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2"/>
        <w:gridCol w:w="1382"/>
        <w:gridCol w:w="1383"/>
        <w:gridCol w:w="1481"/>
        <w:gridCol w:w="1383"/>
        <w:gridCol w:w="1481"/>
      </w:tblGrid>
      <w:tr w14:paraId="6F36C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4" w:hRule="atLeast"/>
        </w:trPr>
        <w:tc>
          <w:tcPr>
            <w:tcW w:w="1382" w:type="dxa"/>
          </w:tcPr>
          <w:p w14:paraId="73E5C457">
            <w:pPr>
              <w:pStyle w:val="3"/>
              <w:spacing w:before="0" w:after="0" w:line="240" w:lineRule="auto"/>
              <w:jc w:val="center"/>
              <w:rPr>
                <w:rFonts w:hint="eastAsia"/>
                <w:lang w:eastAsia="zh-CN"/>
              </w:rPr>
            </w:pPr>
            <w:r>
              <w:rPr>
                <w:rFonts w:hint="eastAsia" w:ascii="等线" w:hAnsi="等线" w:eastAsia="等线" w:cs="等线"/>
                <w:b/>
                <w:bCs/>
                <w:lang w:eastAsia="zh-CN"/>
              </w:rPr>
              <w:t>报告人</w:t>
            </w:r>
          </w:p>
        </w:tc>
        <w:tc>
          <w:tcPr>
            <w:tcW w:w="1382" w:type="dxa"/>
          </w:tcPr>
          <w:p w14:paraId="52912694">
            <w:pPr>
              <w:pStyle w:val="3"/>
              <w:spacing w:before="0" w:after="0" w:line="240" w:lineRule="auto"/>
              <w:jc w:val="center"/>
              <w:rPr>
                <w:rFonts w:hint="default"/>
                <w:lang w:val="en-US" w:eastAsia="zh-CN"/>
              </w:rPr>
            </w:pPr>
            <w:r>
              <w:rPr>
                <w:rFonts w:hint="eastAsia" w:ascii="等线" w:hAnsi="等线" w:eastAsia="等线" w:cs="等线"/>
                <w:lang w:val="en-US" w:eastAsia="zh-CN"/>
              </w:rPr>
              <w:t>阮辅强</w:t>
            </w:r>
          </w:p>
        </w:tc>
        <w:tc>
          <w:tcPr>
            <w:tcW w:w="1383" w:type="dxa"/>
          </w:tcPr>
          <w:p w14:paraId="4F2518E4">
            <w:pPr>
              <w:pStyle w:val="3"/>
              <w:spacing w:before="0" w:after="0" w:line="240" w:lineRule="auto"/>
              <w:jc w:val="center"/>
              <w:rPr>
                <w:rFonts w:hint="eastAsia"/>
                <w:lang w:eastAsia="zh-CN"/>
              </w:rPr>
            </w:pPr>
            <w:r>
              <w:rPr>
                <w:rFonts w:hint="eastAsia" w:ascii="等线" w:hAnsi="等线" w:eastAsia="等线" w:cs="等线"/>
                <w:b/>
                <w:bCs/>
                <w:lang w:eastAsia="zh-CN"/>
              </w:rPr>
              <w:t>学号</w:t>
            </w:r>
          </w:p>
        </w:tc>
        <w:tc>
          <w:tcPr>
            <w:tcW w:w="1481" w:type="dxa"/>
          </w:tcPr>
          <w:p w14:paraId="291C6A53">
            <w:pPr>
              <w:pStyle w:val="3"/>
              <w:spacing w:before="0" w:after="0" w:line="240" w:lineRule="auto"/>
              <w:jc w:val="center"/>
              <w:rPr>
                <w:rFonts w:hint="default"/>
                <w:lang w:val="en-US" w:eastAsia="zh-CN"/>
              </w:rPr>
            </w:pPr>
            <w:r>
              <w:rPr>
                <w:rFonts w:hint="eastAsia" w:ascii="等线" w:hAnsi="等线" w:eastAsia="等线" w:cs="等线"/>
                <w:lang w:val="en-US" w:eastAsia="zh-CN"/>
              </w:rPr>
              <w:t>2024211521</w:t>
            </w:r>
          </w:p>
        </w:tc>
        <w:tc>
          <w:tcPr>
            <w:tcW w:w="1383" w:type="dxa"/>
          </w:tcPr>
          <w:p w14:paraId="116A2B91">
            <w:pPr>
              <w:pStyle w:val="3"/>
              <w:spacing w:before="0" w:after="0" w:line="240" w:lineRule="auto"/>
              <w:jc w:val="center"/>
              <w:rPr>
                <w:rFonts w:hint="eastAsia"/>
                <w:lang w:eastAsia="zh-CN"/>
              </w:rPr>
            </w:pPr>
            <w:r>
              <w:rPr>
                <w:rFonts w:hint="eastAsia" w:ascii="等线" w:hAnsi="等线" w:eastAsia="等线" w:cs="等线"/>
                <w:b/>
                <w:bCs/>
                <w:lang w:eastAsia="zh-CN"/>
              </w:rPr>
              <w:t>班级</w:t>
            </w:r>
          </w:p>
        </w:tc>
        <w:tc>
          <w:tcPr>
            <w:tcW w:w="1481" w:type="dxa"/>
          </w:tcPr>
          <w:p w14:paraId="04993006">
            <w:pPr>
              <w:pStyle w:val="3"/>
              <w:spacing w:before="0" w:after="0" w:line="240" w:lineRule="auto"/>
              <w:jc w:val="center"/>
              <w:rPr>
                <w:rFonts w:hint="default"/>
                <w:lang w:val="en-US" w:eastAsia="zh-CN"/>
              </w:rPr>
            </w:pPr>
            <w:r>
              <w:rPr>
                <w:rFonts w:hint="eastAsia" w:ascii="等线" w:hAnsi="等线" w:eastAsia="等线" w:cs="等线"/>
                <w:lang w:val="en-US" w:eastAsia="zh-CN"/>
              </w:rPr>
              <w:t>2024211803</w:t>
            </w:r>
          </w:p>
        </w:tc>
      </w:tr>
      <w:tr w14:paraId="14721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4" w:hRule="atLeast"/>
        </w:trPr>
        <w:tc>
          <w:tcPr>
            <w:tcW w:w="4147" w:type="dxa"/>
            <w:gridSpan w:val="3"/>
          </w:tcPr>
          <w:p w14:paraId="5990C8F1">
            <w:pPr>
              <w:pStyle w:val="3"/>
              <w:spacing w:before="0" w:after="0" w:line="240" w:lineRule="auto"/>
              <w:jc w:val="center"/>
              <w:rPr>
                <w:rFonts w:hint="eastAsia"/>
                <w:lang w:eastAsia="zh-CN"/>
              </w:rPr>
            </w:pPr>
            <w:r>
              <w:rPr>
                <w:rFonts w:hint="eastAsia" w:ascii="等线" w:hAnsi="等线" w:eastAsia="等线" w:cs="等线"/>
                <w:b/>
                <w:bCs/>
                <w:lang w:eastAsia="zh-CN"/>
              </w:rPr>
              <w:t>报告日期</w:t>
            </w:r>
          </w:p>
        </w:tc>
        <w:tc>
          <w:tcPr>
            <w:tcW w:w="4345" w:type="dxa"/>
            <w:gridSpan w:val="3"/>
          </w:tcPr>
          <w:p w14:paraId="0559301B">
            <w:pPr>
              <w:pStyle w:val="3"/>
              <w:spacing w:before="0" w:after="0" w:line="240" w:lineRule="auto"/>
              <w:jc w:val="center"/>
              <w:rPr>
                <w:rFonts w:hint="default"/>
                <w:lang w:val="en-US" w:eastAsia="zh-CN"/>
              </w:rPr>
            </w:pPr>
            <w:r>
              <w:rPr>
                <w:rFonts w:hint="eastAsia" w:ascii="等线" w:hAnsi="等线" w:eastAsia="等线" w:cs="等线"/>
                <w:lang w:val="en-US" w:eastAsia="zh-CN"/>
              </w:rPr>
              <w:t>2026年10月25日</w:t>
            </w:r>
          </w:p>
        </w:tc>
      </w:tr>
    </w:tbl>
    <w:p w14:paraId="3BB1E376">
      <w:pPr>
        <w:bidi w:val="0"/>
        <w:spacing w:line="240" w:lineRule="auto"/>
        <w:jc w:val="left"/>
        <w:rPr>
          <w:rFonts w:hint="eastAsia" w:ascii="微软雅黑" w:hAnsi="微软雅黑" w:eastAsia="微软雅黑" w:cs="微软雅黑"/>
          <w:b/>
          <w:bCs/>
          <w:sz w:val="24"/>
          <w:szCs w:val="24"/>
          <w:lang w:val="en-US" w:eastAsia="zh-CN"/>
        </w:rPr>
      </w:pPr>
    </w:p>
    <w:p w14:paraId="2CF71A5E">
      <w:pPr>
        <w:bidi w:val="0"/>
        <w:spacing w:line="240" w:lineRule="auto"/>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8"/>
          <w:szCs w:val="28"/>
          <w:lang w:val="en-US" w:eastAsia="zh-CN"/>
        </w:rPr>
        <w:t>阅前声明</w:t>
      </w:r>
    </w:p>
    <w:p w14:paraId="37ADF5EC">
      <w:pPr>
        <w:bidi w:val="0"/>
        <w:spacing w:line="240" w:lineRule="auto"/>
        <w:ind w:firstLine="560" w:firstLineChars="200"/>
        <w:jc w:val="left"/>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本实验参考移动自组织网络相关理论，基于大创项目，(借助AI)设计并实现了一套基于AI的低空无线环境认知与风险预测的原型系统，并对其进行了一系列测试。</w:t>
      </w:r>
    </w:p>
    <w:p w14:paraId="0B1C5E0F">
      <w:pPr>
        <w:bidi w:val="0"/>
        <w:spacing w:line="240" w:lineRule="auto"/>
        <w:ind w:firstLine="560" w:firstLineChars="200"/>
        <w:jc w:val="left"/>
        <w:rPr>
          <w:rFonts w:hint="eastAsia" w:ascii="方正仿宋_GBK" w:hAnsi="方正仿宋_GBK" w:eastAsia="方正仿宋_GBK" w:cs="方正仿宋_GBK"/>
          <w:b w:val="0"/>
          <w:bCs w:val="0"/>
          <w:sz w:val="28"/>
          <w:szCs w:val="28"/>
          <w:lang w:val="en-US" w:eastAsia="zh-CN"/>
        </w:rPr>
      </w:pPr>
    </w:p>
    <w:p w14:paraId="1331FF4F">
      <w:pPr>
        <w:bidi w:val="0"/>
        <w:spacing w:line="240" w:lineRule="auto"/>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小组分工</w:t>
      </w:r>
    </w:p>
    <w:p w14:paraId="51F024F6">
      <w:pPr>
        <w:bidi w:val="0"/>
        <w:spacing w:line="240" w:lineRule="auto"/>
        <w:ind w:firstLine="560" w:firstLineChars="200"/>
        <w:jc w:val="left"/>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阮辅强：系统调试+实验报告撰写</w:t>
      </w:r>
    </w:p>
    <w:p w14:paraId="0C0D9C57">
      <w:pPr>
        <w:bidi w:val="0"/>
        <w:spacing w:line="240" w:lineRule="auto"/>
        <w:ind w:firstLine="560" w:firstLineChars="200"/>
        <w:jc w:val="left"/>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寸雨萱：文献搜集+系统架构搭建</w:t>
      </w:r>
    </w:p>
    <w:p w14:paraId="129BB64F">
      <w:pPr>
        <w:bidi w:val="0"/>
        <w:spacing w:line="240" w:lineRule="auto"/>
        <w:ind w:firstLine="560" w:firstLineChars="200"/>
        <w:jc w:val="left"/>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刘晨阳：系统调试</w:t>
      </w:r>
    </w:p>
    <w:p w14:paraId="1BE391F3">
      <w:pPr>
        <w:bidi w:val="0"/>
        <w:spacing w:line="240" w:lineRule="auto"/>
        <w:ind w:firstLine="560" w:firstLineChars="200"/>
        <w:jc w:val="left"/>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张若斐、陈甜甜：系统代码编写</w:t>
      </w:r>
    </w:p>
    <w:p w14:paraId="25179E72">
      <w:pPr>
        <w:bidi w:val="0"/>
        <w:spacing w:line="240" w:lineRule="auto"/>
        <w:ind w:firstLine="560" w:firstLineChars="200"/>
        <w:jc w:val="left"/>
        <w:rPr>
          <w:rFonts w:hint="default" w:ascii="方正仿宋_GBK" w:hAnsi="方正仿宋_GBK" w:eastAsia="方正仿宋_GBK" w:cs="方正仿宋_GBK"/>
          <w:b w:val="0"/>
          <w:bCs w:val="0"/>
          <w:sz w:val="28"/>
          <w:szCs w:val="28"/>
          <w:lang w:val="en-US" w:eastAsia="zh-CN"/>
        </w:rPr>
      </w:pPr>
    </w:p>
    <w:p w14:paraId="23503EB6">
      <w:pPr>
        <w:spacing w:line="240" w:lineRule="auto"/>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实验任务</w:t>
      </w:r>
    </w:p>
    <w:p w14:paraId="0CFF3322">
      <w:pPr>
        <w:bidi w:val="0"/>
        <w:spacing w:line="240" w:lineRule="auto"/>
        <w:jc w:val="left"/>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1.验证基于多维(48位)无线物理层特征实现低空环境状态智能识别与空间地图重构的全流程可行性，据此构建(可用的)低空无线感知与环境重构系统原型；</w:t>
      </w:r>
    </w:p>
    <w:p w14:paraId="61E845A4">
      <w:pPr>
        <w:bidi w:val="0"/>
        <w:spacing w:line="240" w:lineRule="auto"/>
        <w:jc w:val="left"/>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2.搭建涵盖Sub-6GHz(3.5GHz)、28GHz及60GHz毫米波频段的4类典型低空电磁与气象扰动场景([N]LoS、同频干扰、降雨衰减)；</w:t>
      </w:r>
    </w:p>
    <w:p w14:paraId="73B39A44">
      <w:pPr>
        <w:bidi w:val="0"/>
        <w:spacing w:line="240" w:lineRule="auto"/>
        <w:jc w:val="left"/>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3.评估轻量化分类网络(CNN+MLP，参数量约55K)与空间差值算法的感知精度、重构误差与时延表现；</w:t>
      </w:r>
    </w:p>
    <w:p w14:paraId="2BC094DD">
      <w:pPr>
        <w:bidi w:val="0"/>
        <w:spacing w:line="240" w:lineRule="auto"/>
        <w:jc w:val="left"/>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4.比较实测指标与立项时预期指标的差异，分析现有程序不足之处，指导后续针对性优化工作。</w:t>
      </w:r>
    </w:p>
    <w:p w14:paraId="797FF9BA">
      <w:pPr>
        <w:bidi w:val="0"/>
        <w:spacing w:line="240" w:lineRule="auto"/>
        <w:jc w:val="left"/>
        <w:rPr>
          <w:rFonts w:hint="default" w:ascii="方正仿宋_GBK" w:hAnsi="方正仿宋_GBK" w:eastAsia="方正仿宋_GBK" w:cs="方正仿宋_GBK"/>
          <w:b w:val="0"/>
          <w:bCs w:val="0"/>
          <w:sz w:val="28"/>
          <w:szCs w:val="28"/>
          <w:lang w:val="en-US" w:eastAsia="zh-CN"/>
        </w:rPr>
      </w:pPr>
    </w:p>
    <w:p w14:paraId="73A20757">
      <w:pPr>
        <w:spacing w:line="240" w:lineRule="auto"/>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实验数据集</w:t>
      </w:r>
    </w:p>
    <w:p w14:paraId="009A8D02">
      <w:pPr>
        <w:spacing w:line="240" w:lineRule="auto"/>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1.DeepMIMO数据集；</w:t>
      </w:r>
    </w:p>
    <w:p w14:paraId="1F92EE56">
      <w:pPr>
        <w:spacing w:line="240" w:lineRule="auto"/>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2.RadioMapSeer数据集；</w:t>
      </w:r>
    </w:p>
    <w:p w14:paraId="27CCB207">
      <w:pPr>
        <w:spacing w:line="240" w:lineRule="auto"/>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3.基于Friis自由空间模型、Okumura-Hata城市模型、ITU-RP.838降雨衰减模型，搭建的</w:t>
      </w:r>
      <w:r>
        <w:rPr>
          <w:rFonts w:hint="eastAsia" w:ascii="方正仿宋_GBK" w:hAnsi="方正仿宋_GBK" w:eastAsia="方正仿宋_GBK" w:cs="方正仿宋_GBK"/>
          <w:b/>
          <w:bCs/>
          <w:color w:val="FF0000"/>
          <w:sz w:val="28"/>
          <w:szCs w:val="28"/>
          <w:lang w:val="en-US" w:eastAsia="zh-CN"/>
        </w:rPr>
        <w:t>复合仿真数据集</w:t>
      </w:r>
      <w:r>
        <w:rPr>
          <w:rFonts w:hint="eastAsia" w:ascii="方正仿宋_GBK" w:hAnsi="方正仿宋_GBK" w:eastAsia="方正仿宋_GBK" w:cs="方正仿宋_GBK"/>
          <w:b w:val="0"/>
          <w:bCs w:val="0"/>
          <w:sz w:val="28"/>
          <w:szCs w:val="28"/>
          <w:lang w:val="en-US" w:eastAsia="zh-CN"/>
        </w:rPr>
        <w:t>：其包含4000组标注样本，涵盖RSS、RSRP、Doppler、SNR等(合计48维)无线特征。</w:t>
      </w:r>
    </w:p>
    <w:p w14:paraId="77A8B6B9">
      <w:pPr>
        <w:spacing w:line="240" w:lineRule="auto"/>
        <w:rPr>
          <w:rFonts w:hint="eastAsia" w:ascii="微软雅黑" w:hAnsi="微软雅黑" w:eastAsia="微软雅黑" w:cs="微软雅黑"/>
          <w:b/>
          <w:bCs/>
          <w:sz w:val="28"/>
          <w:szCs w:val="28"/>
          <w:lang w:val="en-US" w:eastAsia="zh-CN"/>
        </w:rPr>
      </w:pPr>
    </w:p>
    <w:p w14:paraId="643D4C23">
      <w:pPr>
        <w:spacing w:line="240" w:lineRule="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实验工具</w:t>
      </w:r>
    </w:p>
    <w:p w14:paraId="3FC15C62">
      <w:pPr>
        <w:spacing w:line="240" w:lineRule="auto"/>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1.Visual Studio Code v1.140  [代码编写、网络搭建与调试]</w:t>
      </w:r>
    </w:p>
    <w:p w14:paraId="65BEE619">
      <w:pPr>
        <w:spacing w:line="240" w:lineRule="auto"/>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2.DeepMIMO v4.0.5           [仿真平台]</w:t>
      </w:r>
    </w:p>
    <w:p w14:paraId="78125C94">
      <w:pPr>
        <w:spacing w:line="240" w:lineRule="auto"/>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3.CARLA Simulator           [格式兼容]</w:t>
      </w:r>
    </w:p>
    <w:p w14:paraId="5F3CF587">
      <w:pPr>
        <w:spacing w:line="240" w:lineRule="auto"/>
        <w:rPr>
          <w:rFonts w:hint="eastAsia" w:ascii="方正仿宋_GBK" w:hAnsi="方正仿宋_GBK" w:eastAsia="方正仿宋_GBK" w:cs="方正仿宋_GBK"/>
          <w:b w:val="0"/>
          <w:bCs w:val="0"/>
          <w:sz w:val="28"/>
          <w:szCs w:val="28"/>
          <w:lang w:val="en-US" w:eastAsia="zh-CN"/>
        </w:rPr>
      </w:pPr>
    </w:p>
    <w:p w14:paraId="216242A7">
      <w:pPr>
        <w:spacing w:line="240" w:lineRule="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AI使用说明</w:t>
      </w:r>
    </w:p>
    <w:p w14:paraId="770D6611">
      <w:pPr>
        <w:spacing w:line="240" w:lineRule="auto"/>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轻量化神经网络架构(CNN+MLP编码器)与RBF网络重构主干代码骨架由Kimi-K2.6 + DeepSeek-V4-Flash参与辅助生成与优化。</w:t>
      </w:r>
    </w:p>
    <w:p w14:paraId="57777625">
      <w:pPr>
        <w:spacing w:line="240" w:lineRule="auto"/>
        <w:rPr>
          <w:rFonts w:hint="eastAsia" w:ascii="微软雅黑" w:hAnsi="微软雅黑" w:eastAsia="微软雅黑" w:cs="微软雅黑"/>
          <w:b/>
          <w:bCs/>
          <w:sz w:val="28"/>
          <w:szCs w:val="28"/>
          <w:lang w:val="en-US" w:eastAsia="zh-CN"/>
        </w:rPr>
      </w:pPr>
    </w:p>
    <w:p w14:paraId="7C3BC1FC">
      <w:pPr>
        <w:spacing w:line="240" w:lineRule="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正文</w:t>
      </w:r>
    </w:p>
    <w:p w14:paraId="4E62BA9C">
      <w:pPr>
        <w:spacing w:line="240" w:lineRule="auto"/>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一.实验背景[快速回顾]</w:t>
      </w:r>
    </w:p>
    <w:p w14:paraId="4AC1CD66">
      <w:pPr>
        <w:spacing w:line="240" w:lineRule="auto"/>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随着低空经济与无人机集群技术的迅猛发展，面向智能通感一体化(ISAC)和复杂电磁环境自适应的无线人工智能的研究已成为学术界与工业界焦点，因其具备无中心、自组织、高度动态三大特点，多点QoS监测机制正逐渐成为ISAC对无线环境实时认知与风险预测的重要技术支持。</w:t>
      </w:r>
    </w:p>
    <w:p w14:paraId="1550F1A5">
      <w:pPr>
        <w:spacing w:line="240" w:lineRule="auto"/>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然而，传统的低空无线电态势感知研究存在两大痛点：其一，真实户外环境数据采集成本高，且普遍缺乏高精度的场景标注；其二：基于纯数理几何的传统插值模型在面对复杂的建筑物遮挡与气象衰减(e.g 降雨)时，无法准确刻画数据突变。</w:t>
      </w:r>
    </w:p>
    <w:p w14:paraId="7CE82D3B">
      <w:pPr>
        <w:spacing w:line="240" w:lineRule="auto"/>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因此，本实验拟基于“云-边-端”三层协同架构，针对性地搭建低空无线环境认知(原型)系统，结合轻量化AI分类网络与空间重构算法，开展了低空环境状态识别与态势地图重构的定向评估，成功实现“感知-&gt;识别-&gt;推理-&gt;预测”的完整推理循环。</w:t>
      </w:r>
    </w:p>
    <w:p w14:paraId="0BF95940">
      <w:pPr>
        <w:spacing w:line="240" w:lineRule="auto"/>
        <w:rPr>
          <w:rFonts w:hint="eastAsia" w:ascii="楷体" w:hAnsi="楷体" w:eastAsia="楷体" w:cs="楷体"/>
          <w:b/>
          <w:bCs/>
          <w:sz w:val="28"/>
          <w:szCs w:val="28"/>
          <w:lang w:val="en-US" w:eastAsia="zh-CN"/>
        </w:rPr>
      </w:pPr>
    </w:p>
    <w:p w14:paraId="68C12012">
      <w:pPr>
        <w:spacing w:line="240" w:lineRule="auto"/>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二.核心算法实现</w:t>
      </w:r>
    </w:p>
    <w:p w14:paraId="58DD3D7C">
      <w:pPr>
        <w:spacing w:line="240" w:lineRule="auto"/>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1.轻量化识别网络</w:t>
      </w:r>
    </w:p>
    <w:p w14:paraId="700641F4">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采用CNN+MLP混合架构(包含2层Conv1D信道编码器、BandEmbed频段融合模块及全连接分类头)，通过对信道特征进行提取与降维，成功总参数量被压缩至55K，利于在边缘计算节点上实施轻量化部署与即时推理。</w:t>
      </w:r>
    </w:p>
    <w:p w14:paraId="2F88C2AD">
      <w:pPr>
        <w:spacing w:line="240" w:lineRule="auto"/>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2.空间地图重构算法</w:t>
      </w:r>
    </w:p>
    <w:p w14:paraId="7B464FC4">
      <w:pPr>
        <w:spacing w:line="240" w:lineRule="auto"/>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在</w:t>
      </w:r>
      <w:r>
        <w:rPr>
          <w:rFonts w:hint="eastAsia" w:ascii="方正仿宋_GBK" w:hAnsi="方正仿宋_GBK" w:eastAsia="方正仿宋_GBK" w:cs="方正仿宋_GBK"/>
          <w:b/>
          <w:bCs/>
          <w:color w:val="FF0000"/>
          <w:sz w:val="28"/>
          <w:szCs w:val="28"/>
          <w:lang w:val="en-US" w:eastAsia="zh-CN"/>
        </w:rPr>
        <w:t>原型阶段</w:t>
      </w:r>
      <w:r>
        <w:rPr>
          <w:rFonts w:hint="eastAsia" w:ascii="方正仿宋_GBK" w:hAnsi="方正仿宋_GBK" w:eastAsia="方正仿宋_GBK" w:cs="方正仿宋_GBK"/>
          <w:b w:val="0"/>
          <w:bCs w:val="0"/>
          <w:sz w:val="28"/>
          <w:szCs w:val="28"/>
          <w:lang w:val="en-US" w:eastAsia="zh-CN"/>
        </w:rPr>
        <w:t>，我们选用</w:t>
      </w:r>
      <w:r>
        <w:rPr>
          <w:rFonts w:hint="eastAsia" w:ascii="方正仿宋_GBK" w:hAnsi="方正仿宋_GBK" w:eastAsia="方正仿宋_GBK" w:cs="方正仿宋_GBK"/>
          <w:b/>
          <w:bCs/>
          <w:color w:val="FF0000"/>
          <w:sz w:val="28"/>
          <w:szCs w:val="28"/>
          <w:lang w:val="en-US" w:eastAsia="zh-CN"/>
        </w:rPr>
        <w:t>径向基函数(RBF)</w:t>
      </w:r>
      <w:r>
        <w:rPr>
          <w:rFonts w:hint="eastAsia" w:ascii="方正仿宋_GBK" w:hAnsi="方正仿宋_GBK" w:eastAsia="方正仿宋_GBK" w:cs="方正仿宋_GBK"/>
          <w:b w:val="0"/>
          <w:bCs w:val="0"/>
          <w:sz w:val="28"/>
          <w:szCs w:val="28"/>
          <w:lang w:val="en-US" w:eastAsia="zh-CN"/>
        </w:rPr>
        <w:t>空间插值算法(比IDW更好模拟无限电磁场的空间扩散特性；比Kriging更简洁)，从而快速的将(1000 x 1000(单位：m)区域内)离散的无线观测点转化为连续的网格化环境态势地图。</w:t>
      </w:r>
    </w:p>
    <w:p w14:paraId="4107112F">
      <w:pPr>
        <w:spacing w:line="240" w:lineRule="auto"/>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3.系统拓扑与多维特征提取</w:t>
      </w:r>
    </w:p>
    <w:p w14:paraId="678AF640">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系统在3.5GHz、28GHz与60GHz毫米波频段下，抓取并构建了48维物理层与链路层联合特征向量输入，具体包含：</w:t>
      </w:r>
    </w:p>
    <w:p w14:paraId="72063C7B">
      <w:pPr>
        <w:spacing w:line="240" w:lineRule="auto"/>
        <w:rPr>
          <w:rFonts w:hint="eastAsia" w:ascii="方正仿宋_GBK" w:hAnsi="方正仿宋_GBK" w:eastAsia="方正仿宋_GBK" w:cs="方正仿宋_GBK"/>
          <w:b/>
          <w:bCs/>
          <w:sz w:val="28"/>
          <w:szCs w:val="28"/>
          <w:lang w:val="en-US" w:eastAsia="zh-CN"/>
        </w:rPr>
      </w:pPr>
      <w:r>
        <w:rPr>
          <w:rFonts w:hint="eastAsia" w:ascii="方正仿宋_GBK" w:hAnsi="方正仿宋_GBK" w:eastAsia="方正仿宋_GBK" w:cs="方正仿宋_GBK"/>
          <w:b/>
          <w:bCs/>
          <w:sz w:val="28"/>
          <w:szCs w:val="28"/>
          <w:lang w:val="en-US" w:eastAsia="zh-CN"/>
        </w:rPr>
        <w:t>1).基础特征[3维]：</w:t>
      </w:r>
    </w:p>
    <w:p w14:paraId="3CECCC77">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a.接收信号强度(RSS，1维)；</w:t>
      </w:r>
    </w:p>
    <w:p w14:paraId="2ACD77C0">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b.信噪比(SNR，1维)；</w:t>
      </w:r>
    </w:p>
    <w:p w14:paraId="45E8F65C">
      <w:pPr>
        <w:spacing w:line="240" w:lineRule="auto"/>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c.参考信号接收功率(RSRP，1维)。</w:t>
      </w:r>
    </w:p>
    <w:p w14:paraId="0D1FB0E8">
      <w:pPr>
        <w:keepNext w:val="0"/>
        <w:keepLines w:val="0"/>
        <w:widowControl/>
        <w:suppressLineNumbers w:val="0"/>
        <w:spacing w:line="240" w:lineRule="auto"/>
        <w:jc w:val="left"/>
        <w:rPr>
          <w:rFonts w:hint="eastAsia" w:ascii="方正仿宋_GBK" w:hAnsi="方正仿宋_GBK" w:eastAsia="方正仿宋_GBK" w:cs="方正仿宋_GBK"/>
          <w:b/>
          <w:bCs/>
          <w:kern w:val="0"/>
          <w:sz w:val="28"/>
          <w:szCs w:val="28"/>
          <w:lang w:val="en-US" w:eastAsia="zh-CN" w:bidi="ar"/>
        </w:rPr>
      </w:pPr>
      <w:r>
        <w:rPr>
          <w:rFonts w:hint="eastAsia" w:ascii="方正仿宋_GBK" w:hAnsi="方正仿宋_GBK" w:eastAsia="方正仿宋_GBK" w:cs="方正仿宋_GBK"/>
          <w:b/>
          <w:bCs/>
          <w:kern w:val="0"/>
          <w:sz w:val="28"/>
          <w:szCs w:val="28"/>
          <w:lang w:val="en-US" w:eastAsia="zh-CN" w:bidi="ar"/>
        </w:rPr>
        <w:t>2).信道与传播衰减特征[34维]：</w:t>
      </w:r>
    </w:p>
    <w:p w14:paraId="1B89DB69">
      <w:pPr>
        <w:keepNext w:val="0"/>
        <w:keepLines w:val="0"/>
        <w:widowControl/>
        <w:suppressLineNumbers w:val="0"/>
        <w:spacing w:line="240" w:lineRule="auto"/>
        <w:ind w:firstLine="560" w:firstLineChars="200"/>
        <w:jc w:val="left"/>
        <w:rPr>
          <w:rFonts w:hint="eastAsia" w:ascii="方正仿宋_GBK" w:hAnsi="方正仿宋_GBK" w:eastAsia="方正仿宋_GBK" w:cs="方正仿宋_GBK"/>
          <w:b w:val="0"/>
          <w:bCs w:val="0"/>
          <w:kern w:val="0"/>
          <w:sz w:val="28"/>
          <w:szCs w:val="28"/>
          <w:lang w:val="en-US" w:eastAsia="zh-CN" w:bidi="ar"/>
        </w:rPr>
      </w:pPr>
      <w:r>
        <w:rPr>
          <w:rFonts w:hint="eastAsia" w:ascii="方正仿宋_GBK" w:hAnsi="方正仿宋_GBK" w:eastAsia="方正仿宋_GBK" w:cs="方正仿宋_GBK"/>
          <w:b w:val="0"/>
          <w:bCs w:val="0"/>
          <w:kern w:val="0"/>
          <w:sz w:val="28"/>
          <w:szCs w:val="28"/>
          <w:lang w:val="en-US" w:eastAsia="zh-CN" w:bidi="ar"/>
        </w:rPr>
        <w:t>a.(经2层Conv1D编码器提取的)16-tap CSI复数矩阵特征(32维；</w:t>
      </w:r>
    </w:p>
    <w:p w14:paraId="11FB099D">
      <w:pPr>
        <w:keepNext w:val="0"/>
        <w:keepLines w:val="0"/>
        <w:widowControl/>
        <w:suppressLineNumbers w:val="0"/>
        <w:spacing w:line="240" w:lineRule="auto"/>
        <w:ind w:firstLine="560" w:firstLineChars="200"/>
        <w:jc w:val="left"/>
        <w:rPr>
          <w:rFonts w:hint="eastAsia" w:ascii="方正仿宋_GBK" w:hAnsi="方正仿宋_GBK" w:eastAsia="方正仿宋_GBK" w:cs="方正仿宋_GBK"/>
          <w:b w:val="0"/>
          <w:bCs w:val="0"/>
          <w:kern w:val="0"/>
          <w:sz w:val="28"/>
          <w:szCs w:val="28"/>
          <w:lang w:val="en-US" w:eastAsia="zh-CN" w:bidi="ar"/>
        </w:rPr>
      </w:pPr>
      <w:r>
        <w:rPr>
          <w:rFonts w:hint="eastAsia" w:ascii="方正仿宋_GBK" w:hAnsi="方正仿宋_GBK" w:eastAsia="方正仿宋_GBK" w:cs="方正仿宋_GBK"/>
          <w:b w:val="0"/>
          <w:bCs w:val="0"/>
          <w:kern w:val="0"/>
          <w:sz w:val="28"/>
          <w:szCs w:val="28"/>
          <w:lang w:val="en-US" w:eastAsia="zh-CN" w:bidi="ar"/>
        </w:rPr>
        <w:t>b.路径损耗(Path Loss，1维)；</w:t>
      </w:r>
    </w:p>
    <w:p w14:paraId="1906B399">
      <w:pPr>
        <w:keepNext w:val="0"/>
        <w:keepLines w:val="0"/>
        <w:widowControl/>
        <w:suppressLineNumbers w:val="0"/>
        <w:spacing w:line="240" w:lineRule="auto"/>
        <w:ind w:firstLine="560" w:firstLineChars="200"/>
        <w:jc w:val="left"/>
        <w:rPr>
          <w:rFonts w:hint="eastAsia" w:ascii="方正仿宋_GBK" w:hAnsi="方正仿宋_GBK" w:eastAsia="方正仿宋_GBK" w:cs="方正仿宋_GBK"/>
          <w:b w:val="0"/>
          <w:bCs w:val="0"/>
          <w:kern w:val="0"/>
          <w:sz w:val="28"/>
          <w:szCs w:val="28"/>
          <w:lang w:val="en-US" w:eastAsia="zh-CN" w:bidi="ar"/>
        </w:rPr>
      </w:pPr>
      <w:r>
        <w:rPr>
          <w:rFonts w:hint="eastAsia" w:ascii="方正仿宋_GBK" w:hAnsi="方正仿宋_GBK" w:eastAsia="方正仿宋_GBK" w:cs="方正仿宋_GBK"/>
          <w:b w:val="0"/>
          <w:bCs w:val="0"/>
          <w:kern w:val="0"/>
          <w:sz w:val="28"/>
          <w:szCs w:val="28"/>
          <w:lang w:val="en-US" w:eastAsia="zh-CN" w:bidi="ar"/>
        </w:rPr>
        <w:t>c.多径时延拓展(Delay Spread，1维)。</w:t>
      </w:r>
    </w:p>
    <w:p w14:paraId="257F3012">
      <w:pPr>
        <w:keepNext w:val="0"/>
        <w:keepLines w:val="0"/>
        <w:widowControl/>
        <w:suppressLineNumbers w:val="0"/>
        <w:spacing w:line="240" w:lineRule="auto"/>
        <w:jc w:val="left"/>
        <w:rPr>
          <w:rFonts w:hint="eastAsia" w:ascii="方正仿宋_GBK" w:hAnsi="方正仿宋_GBK" w:eastAsia="方正仿宋_GBK" w:cs="方正仿宋_GBK"/>
          <w:b w:val="0"/>
          <w:bCs w:val="0"/>
          <w:kern w:val="0"/>
          <w:sz w:val="28"/>
          <w:szCs w:val="28"/>
          <w:lang w:val="en-US" w:eastAsia="zh-CN" w:bidi="ar"/>
        </w:rPr>
      </w:pPr>
      <w:r>
        <w:rPr>
          <w:rFonts w:hint="eastAsia" w:ascii="方正仿宋_GBK" w:hAnsi="方正仿宋_GBK" w:eastAsia="方正仿宋_GBK" w:cs="方正仿宋_GBK"/>
          <w:b/>
          <w:bCs/>
          <w:kern w:val="0"/>
          <w:sz w:val="28"/>
          <w:szCs w:val="28"/>
          <w:lang w:val="en-US" w:eastAsia="zh-CN" w:bidi="ar"/>
        </w:rPr>
        <w:t>3).运动与频段特征[11维]：</w:t>
      </w:r>
    </w:p>
    <w:p w14:paraId="6630BA8E">
      <w:pPr>
        <w:keepNext w:val="0"/>
        <w:keepLines w:val="0"/>
        <w:widowControl/>
        <w:suppressLineNumbers w:val="0"/>
        <w:spacing w:line="240" w:lineRule="auto"/>
        <w:ind w:firstLine="560" w:firstLineChars="200"/>
        <w:jc w:val="left"/>
        <w:rPr>
          <w:rFonts w:hint="eastAsia" w:ascii="方正仿宋_GBK" w:hAnsi="方正仿宋_GBK" w:eastAsia="方正仿宋_GBK" w:cs="方正仿宋_GBK"/>
          <w:b w:val="0"/>
          <w:bCs w:val="0"/>
          <w:kern w:val="0"/>
          <w:sz w:val="28"/>
          <w:szCs w:val="28"/>
          <w:lang w:val="en-US" w:eastAsia="zh-CN" w:bidi="ar"/>
        </w:rPr>
      </w:pPr>
      <w:r>
        <w:rPr>
          <w:rFonts w:hint="eastAsia" w:ascii="方正仿宋_GBK" w:hAnsi="方正仿宋_GBK" w:eastAsia="方正仿宋_GBK" w:cs="方正仿宋_GBK"/>
          <w:b w:val="0"/>
          <w:bCs w:val="0"/>
          <w:kern w:val="0"/>
          <w:sz w:val="28"/>
          <w:szCs w:val="28"/>
          <w:lang w:val="en-US" w:eastAsia="zh-CN" w:bidi="ar"/>
        </w:rPr>
        <w:t>a.多普勒频移(Doppler，1维)；</w:t>
      </w:r>
    </w:p>
    <w:p w14:paraId="3E065871">
      <w:pPr>
        <w:keepNext w:val="0"/>
        <w:keepLines w:val="0"/>
        <w:widowControl/>
        <w:suppressLineNumbers w:val="0"/>
        <w:spacing w:line="240" w:lineRule="auto"/>
        <w:ind w:firstLine="560" w:firstLineChars="200"/>
        <w:jc w:val="left"/>
        <w:rPr>
          <w:rFonts w:hint="eastAsia" w:ascii="方正仿宋_GBK" w:hAnsi="方正仿宋_GBK" w:eastAsia="方正仿宋_GBK" w:cs="方正仿宋_GBK"/>
          <w:b w:val="0"/>
          <w:bCs w:val="0"/>
          <w:kern w:val="0"/>
          <w:sz w:val="28"/>
          <w:szCs w:val="28"/>
          <w:lang w:val="en-US" w:eastAsia="zh-CN" w:bidi="ar"/>
        </w:rPr>
      </w:pPr>
      <w:r>
        <w:rPr>
          <w:rFonts w:hint="eastAsia" w:ascii="方正仿宋_GBK" w:hAnsi="方正仿宋_GBK" w:eastAsia="方正仿宋_GBK" w:cs="方正仿宋_GBK"/>
          <w:b w:val="0"/>
          <w:bCs w:val="0"/>
          <w:kern w:val="0"/>
          <w:sz w:val="28"/>
          <w:szCs w:val="28"/>
          <w:lang w:val="en-US" w:eastAsia="zh-CN" w:bidi="ar"/>
        </w:rPr>
        <w:t>b.可学习频段嵌入向量(BandEmbed，8维)；</w:t>
      </w:r>
    </w:p>
    <w:p w14:paraId="0FBC029A">
      <w:pPr>
        <w:keepNext w:val="0"/>
        <w:keepLines w:val="0"/>
        <w:widowControl/>
        <w:suppressLineNumbers w:val="0"/>
        <w:spacing w:line="240" w:lineRule="auto"/>
        <w:ind w:firstLine="560" w:firstLineChars="200"/>
        <w:jc w:val="left"/>
        <w:rPr>
          <w:rFonts w:hint="eastAsia" w:ascii="方正仿宋_GBK" w:hAnsi="方正仿宋_GBK" w:eastAsia="方正仿宋_GBK" w:cs="方正仿宋_GBK"/>
          <w:b w:val="0"/>
          <w:bCs w:val="0"/>
          <w:kern w:val="0"/>
          <w:sz w:val="28"/>
          <w:szCs w:val="28"/>
          <w:lang w:val="en-US" w:eastAsia="zh-CN" w:bidi="ar"/>
        </w:rPr>
      </w:pPr>
      <w:r>
        <w:rPr>
          <w:rFonts w:hint="eastAsia" w:ascii="方正仿宋_GBK" w:hAnsi="方正仿宋_GBK" w:eastAsia="方正仿宋_GBK" w:cs="方正仿宋_GBK"/>
          <w:b w:val="0"/>
          <w:bCs w:val="0"/>
          <w:kern w:val="0"/>
          <w:sz w:val="28"/>
          <w:szCs w:val="28"/>
          <w:lang w:val="en-US" w:eastAsia="zh-CN" w:bidi="ar"/>
        </w:rPr>
        <w:t>c.无人机3D相对坐标(3维)。</w:t>
      </w:r>
    </w:p>
    <w:p w14:paraId="22E20C57">
      <w:pPr>
        <w:spacing w:line="240" w:lineRule="auto"/>
        <w:rPr>
          <w:rFonts w:hint="eastAsia" w:ascii="楷体" w:hAnsi="楷体" w:eastAsia="楷体" w:cs="楷体"/>
          <w:b/>
          <w:bCs/>
          <w:sz w:val="28"/>
          <w:szCs w:val="28"/>
          <w:lang w:val="en-US" w:eastAsia="zh-CN"/>
        </w:rPr>
      </w:pPr>
    </w:p>
    <w:p w14:paraId="7DE8FDBE">
      <w:pPr>
        <w:spacing w:line="240" w:lineRule="auto"/>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三.用于AI训练的4类低空环境设计</w:t>
      </w:r>
    </w:p>
    <w:p w14:paraId="081BF347">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我们构建的数据集包含4000组标注样本，并针对性地拟合以下4种低空电磁与气象场景：</w:t>
      </w:r>
    </w:p>
    <w:p w14:paraId="33B86B9B">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a.场景1-正确视距环境(LoS，占比50%)：基于Friis自由空间传播模型(作为理想基准链路)；</w:t>
      </w:r>
    </w:p>
    <w:p w14:paraId="71E3321D">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b.场景2-建筑物遮挡环境(NLoS，占比20%)：结合Okumura-Hata修正模型与阴影遮挡损耗，模拟建筑物穿透与绕射；</w:t>
      </w:r>
    </w:p>
    <w:p w14:paraId="198FB807">
      <w:pPr>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c.场景3-同频干扰环境(Interference，占比20%)：引入独立干扰源节点(高额UDP Flood包)，模拟大幅SNR波动与电磁干扰；</w:t>
      </w:r>
    </w:p>
    <w:p w14:paraId="3A76E1E9">
      <w:pPr>
        <w:spacing w:line="240" w:lineRule="auto"/>
        <w:ind w:firstLine="560" w:firstLineChars="200"/>
        <w:rPr>
          <w:rFonts w:hint="eastAsia" w:ascii="楷体" w:hAnsi="楷体" w:eastAsia="楷体" w:cs="楷体"/>
          <w:b/>
          <w:bCs/>
          <w:sz w:val="28"/>
          <w:szCs w:val="28"/>
          <w:lang w:val="en-US" w:eastAsia="zh-CN"/>
        </w:rPr>
      </w:pPr>
      <w:r>
        <w:rPr>
          <w:rFonts w:hint="eastAsia" w:ascii="方正仿宋_GBK" w:hAnsi="方正仿宋_GBK" w:eastAsia="方正仿宋_GBK" w:cs="方正仿宋_GBK"/>
          <w:b w:val="0"/>
          <w:bCs w:val="0"/>
          <w:sz w:val="28"/>
          <w:szCs w:val="28"/>
          <w:lang w:val="en-US" w:eastAsia="zh-CN"/>
        </w:rPr>
        <w:t>d.场景4-降雨衰减环境(Rainfall，占比10%)：基于ITU-R P.838理论，(加入毫米波敏感的)降雨衰减补偿(降雨率为25mm/h)，模拟恶劣气象条件。</w:t>
      </w:r>
    </w:p>
    <w:p w14:paraId="2A2B073E">
      <w:pPr>
        <w:keepNext w:val="0"/>
        <w:keepLines w:val="0"/>
        <w:widowControl/>
        <w:suppressLineNumbers w:val="0"/>
        <w:spacing w:line="240" w:lineRule="auto"/>
        <w:jc w:val="left"/>
        <w:rPr>
          <w:rFonts w:hint="eastAsia" w:ascii="楷体" w:hAnsi="楷体" w:eastAsia="楷体" w:cs="楷体"/>
          <w:b/>
          <w:bCs/>
          <w:sz w:val="28"/>
          <w:szCs w:val="28"/>
          <w:lang w:val="en-US" w:eastAsia="zh-CN"/>
        </w:rPr>
      </w:pPr>
    </w:p>
    <w:p w14:paraId="3BB56C09">
      <w:pPr>
        <w:keepNext w:val="0"/>
        <w:keepLines w:val="0"/>
        <w:widowControl/>
        <w:suppressLineNumbers w:val="0"/>
        <w:spacing w:line="240" w:lineRule="auto"/>
        <w:jc w:val="left"/>
        <w:rPr>
          <w:rFonts w:hint="default" w:ascii="方正仿宋_GBK" w:hAnsi="方正仿宋_GBK" w:eastAsia="方正仿宋_GBK" w:cs="方正仿宋_GBK"/>
          <w:sz w:val="28"/>
          <w:szCs w:val="28"/>
          <w:lang w:val="en-US" w:eastAsia="zh-CN"/>
        </w:rPr>
      </w:pPr>
      <w:r>
        <w:rPr>
          <w:rFonts w:hint="eastAsia" w:ascii="楷体" w:hAnsi="楷体" w:eastAsia="楷体" w:cs="楷体"/>
          <w:b/>
          <w:bCs/>
          <w:sz w:val="28"/>
          <w:szCs w:val="28"/>
          <w:lang w:val="en-US" w:eastAsia="zh-CN"/>
        </w:rPr>
        <w:t>四.测试结果</w:t>
      </w:r>
    </w:p>
    <w:p w14:paraId="72D7855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1.环境状态核心识别性能</w:t>
      </w:r>
    </w:p>
    <w:p w14:paraId="770FF942">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模型在(由数据集内800个随机样本组成的)测试集分类性能如下：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4"/>
        <w:gridCol w:w="2130"/>
        <w:gridCol w:w="2126"/>
      </w:tblGrid>
      <w:tr w14:paraId="3094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4472C4"/>
          </w:tcPr>
          <w:p w14:paraId="5D34D5B8">
            <w:pPr>
              <w:spacing w:after="0" w:line="240" w:lineRule="auto"/>
              <w:jc w:val="center"/>
            </w:pPr>
            <w:r>
              <w:rPr>
                <w:rFonts w:ascii="宋体" w:hAnsi="宋体" w:eastAsia="宋体"/>
                <w:b/>
                <w:color w:val="FFFFFF"/>
                <w:sz w:val="20"/>
              </w:rPr>
              <w:t>指标</w:t>
            </w:r>
          </w:p>
        </w:tc>
        <w:tc>
          <w:tcPr>
            <w:tcW w:w="2160" w:type="dxa"/>
            <w:shd w:val="clear" w:color="auto" w:fill="4472C4"/>
          </w:tcPr>
          <w:p w14:paraId="004EF888">
            <w:pPr>
              <w:spacing w:after="0" w:line="240" w:lineRule="auto"/>
              <w:jc w:val="center"/>
            </w:pPr>
            <w:r>
              <w:rPr>
                <w:rFonts w:ascii="宋体" w:hAnsi="宋体" w:eastAsia="宋体"/>
                <w:b/>
                <w:color w:val="FFFFFF"/>
                <w:sz w:val="20"/>
              </w:rPr>
              <w:t>原型</w:t>
            </w:r>
            <w:r>
              <w:rPr>
                <w:rFonts w:hint="eastAsia" w:ascii="宋体" w:hAnsi="宋体" w:eastAsia="宋体"/>
                <w:b/>
                <w:color w:val="FFFFFF"/>
                <w:sz w:val="20"/>
                <w:lang w:val="en-US" w:eastAsia="zh-CN"/>
              </w:rPr>
              <w:t>测试</w:t>
            </w:r>
            <w:r>
              <w:rPr>
                <w:rFonts w:ascii="宋体" w:hAnsi="宋体" w:eastAsia="宋体"/>
                <w:b/>
                <w:color w:val="FFFFFF"/>
                <w:sz w:val="20"/>
              </w:rPr>
              <w:t>结果</w:t>
            </w:r>
          </w:p>
        </w:tc>
        <w:tc>
          <w:tcPr>
            <w:tcW w:w="2160" w:type="dxa"/>
            <w:shd w:val="clear" w:color="auto" w:fill="4472C4"/>
          </w:tcPr>
          <w:p w14:paraId="112852B6">
            <w:pPr>
              <w:spacing w:after="0" w:line="240" w:lineRule="auto"/>
              <w:jc w:val="center"/>
            </w:pPr>
            <w:r>
              <w:rPr>
                <w:rFonts w:ascii="宋体" w:hAnsi="宋体" w:eastAsia="宋体"/>
                <w:b/>
                <w:color w:val="FFFFFF"/>
                <w:sz w:val="20"/>
              </w:rPr>
              <w:t>申请书目标</w:t>
            </w:r>
          </w:p>
        </w:tc>
        <w:tc>
          <w:tcPr>
            <w:tcW w:w="2160" w:type="dxa"/>
            <w:shd w:val="clear" w:color="auto" w:fill="4472C4"/>
          </w:tcPr>
          <w:p w14:paraId="367FC053">
            <w:pPr>
              <w:spacing w:after="0" w:line="240" w:lineRule="auto"/>
              <w:jc w:val="center"/>
            </w:pPr>
            <w:r>
              <w:rPr>
                <w:rFonts w:ascii="宋体" w:hAnsi="宋体" w:eastAsia="宋体"/>
                <w:b/>
                <w:color w:val="FFFFFF"/>
                <w:sz w:val="20"/>
              </w:rPr>
              <w:t>达成状态</w:t>
            </w:r>
          </w:p>
        </w:tc>
      </w:tr>
      <w:tr w14:paraId="2A2B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739B7D">
            <w:pPr>
              <w:spacing w:after="0" w:line="240" w:lineRule="auto"/>
              <w:jc w:val="center"/>
            </w:pPr>
            <w:r>
              <w:rPr>
                <w:rFonts w:ascii="宋体" w:hAnsi="宋体" w:eastAsia="宋体"/>
                <w:b w:val="0"/>
                <w:sz w:val="20"/>
              </w:rPr>
              <w:t>综合识别准确率</w:t>
            </w:r>
          </w:p>
        </w:tc>
        <w:tc>
          <w:tcPr>
            <w:tcW w:w="2160" w:type="dxa"/>
          </w:tcPr>
          <w:p w14:paraId="48D1AE42">
            <w:pPr>
              <w:spacing w:after="0" w:line="240" w:lineRule="auto"/>
              <w:jc w:val="center"/>
            </w:pPr>
            <w:r>
              <w:rPr>
                <w:rFonts w:ascii="宋体" w:hAnsi="宋体" w:eastAsia="宋体"/>
                <w:b w:val="0"/>
                <w:sz w:val="20"/>
              </w:rPr>
              <w:t>93.12%</w:t>
            </w:r>
          </w:p>
        </w:tc>
        <w:tc>
          <w:tcPr>
            <w:tcW w:w="2160" w:type="dxa"/>
          </w:tcPr>
          <w:p w14:paraId="5F1A3268">
            <w:pPr>
              <w:spacing w:after="0" w:line="240" w:lineRule="auto"/>
              <w:jc w:val="center"/>
            </w:pPr>
            <w:r>
              <w:rPr>
                <w:rFonts w:ascii="宋体" w:hAnsi="宋体" w:eastAsia="宋体"/>
                <w:b w:val="0"/>
                <w:sz w:val="20"/>
              </w:rPr>
              <w:t>≥ 90%</w:t>
            </w:r>
          </w:p>
        </w:tc>
        <w:tc>
          <w:tcPr>
            <w:tcW w:w="2160" w:type="dxa"/>
          </w:tcPr>
          <w:p w14:paraId="0E4AA52F">
            <w:pPr>
              <w:spacing w:after="0" w:line="240" w:lineRule="auto"/>
              <w:jc w:val="center"/>
            </w:pPr>
            <w:r>
              <w:rPr>
                <w:rFonts w:ascii="宋体" w:hAnsi="宋体" w:eastAsia="宋体"/>
                <w:b w:val="0"/>
                <w:sz w:val="20"/>
              </w:rPr>
              <w:t>✅ 达成</w:t>
            </w:r>
          </w:p>
        </w:tc>
      </w:tr>
      <w:tr w14:paraId="14B7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D6E4F0"/>
          </w:tcPr>
          <w:p w14:paraId="79F2A7E1">
            <w:pPr>
              <w:spacing w:after="0" w:line="240" w:lineRule="auto"/>
              <w:jc w:val="center"/>
            </w:pPr>
            <w:r>
              <w:rPr>
                <w:rFonts w:ascii="宋体" w:hAnsi="宋体" w:eastAsia="宋体"/>
                <w:b w:val="0"/>
                <w:sz w:val="20"/>
              </w:rPr>
              <w:t>加权精确率</w:t>
            </w:r>
          </w:p>
        </w:tc>
        <w:tc>
          <w:tcPr>
            <w:tcW w:w="2160" w:type="dxa"/>
            <w:shd w:val="clear" w:color="auto" w:fill="D6E4F0"/>
          </w:tcPr>
          <w:p w14:paraId="0F229047">
            <w:pPr>
              <w:spacing w:after="0" w:line="240" w:lineRule="auto"/>
              <w:jc w:val="center"/>
            </w:pPr>
            <w:r>
              <w:rPr>
                <w:rFonts w:ascii="宋体" w:hAnsi="宋体" w:eastAsia="宋体"/>
                <w:b w:val="0"/>
                <w:sz w:val="20"/>
              </w:rPr>
              <w:t>93.34%</w:t>
            </w:r>
          </w:p>
        </w:tc>
        <w:tc>
          <w:tcPr>
            <w:tcW w:w="2160" w:type="dxa"/>
            <w:shd w:val="clear" w:color="auto" w:fill="D6E4F0"/>
          </w:tcPr>
          <w:p w14:paraId="1489D0A1">
            <w:pPr>
              <w:spacing w:after="0" w:line="240" w:lineRule="auto"/>
              <w:jc w:val="center"/>
            </w:pPr>
            <w:r>
              <w:rPr>
                <w:rFonts w:ascii="宋体" w:hAnsi="宋体" w:eastAsia="宋体"/>
                <w:b w:val="0"/>
                <w:sz w:val="20"/>
              </w:rPr>
              <w:t>≥ 90%</w:t>
            </w:r>
          </w:p>
        </w:tc>
        <w:tc>
          <w:tcPr>
            <w:tcW w:w="2160" w:type="dxa"/>
            <w:shd w:val="clear" w:color="auto" w:fill="D6E4F0"/>
          </w:tcPr>
          <w:p w14:paraId="7FEDA2BA">
            <w:pPr>
              <w:spacing w:after="0" w:line="240" w:lineRule="auto"/>
              <w:jc w:val="center"/>
            </w:pPr>
            <w:r>
              <w:rPr>
                <w:rFonts w:ascii="宋体" w:hAnsi="宋体" w:eastAsia="宋体"/>
                <w:b w:val="0"/>
                <w:sz w:val="20"/>
              </w:rPr>
              <w:t>✅ 达成</w:t>
            </w:r>
          </w:p>
        </w:tc>
      </w:tr>
      <w:tr w14:paraId="01A2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1E7569">
            <w:pPr>
              <w:spacing w:after="0" w:line="240" w:lineRule="auto"/>
              <w:jc w:val="center"/>
            </w:pPr>
            <w:r>
              <w:rPr>
                <w:rFonts w:ascii="宋体" w:hAnsi="宋体" w:eastAsia="宋体"/>
                <w:b w:val="0"/>
                <w:sz w:val="20"/>
              </w:rPr>
              <w:t>加权召回率</w:t>
            </w:r>
          </w:p>
        </w:tc>
        <w:tc>
          <w:tcPr>
            <w:tcW w:w="2160" w:type="dxa"/>
          </w:tcPr>
          <w:p w14:paraId="7E289374">
            <w:pPr>
              <w:spacing w:after="0" w:line="240" w:lineRule="auto"/>
              <w:jc w:val="center"/>
            </w:pPr>
            <w:r>
              <w:rPr>
                <w:rFonts w:ascii="宋体" w:hAnsi="宋体" w:eastAsia="宋体"/>
                <w:b w:val="0"/>
                <w:sz w:val="20"/>
              </w:rPr>
              <w:t>93.12%</w:t>
            </w:r>
          </w:p>
        </w:tc>
        <w:tc>
          <w:tcPr>
            <w:tcW w:w="2160" w:type="dxa"/>
          </w:tcPr>
          <w:p w14:paraId="3613E26F">
            <w:pPr>
              <w:spacing w:after="0" w:line="240" w:lineRule="auto"/>
              <w:jc w:val="center"/>
            </w:pPr>
            <w:r>
              <w:rPr>
                <w:rFonts w:ascii="宋体" w:hAnsi="宋体" w:eastAsia="宋体"/>
                <w:b w:val="0"/>
                <w:sz w:val="20"/>
              </w:rPr>
              <w:t>≥ 90%</w:t>
            </w:r>
          </w:p>
        </w:tc>
        <w:tc>
          <w:tcPr>
            <w:tcW w:w="2160" w:type="dxa"/>
          </w:tcPr>
          <w:p w14:paraId="48D5088E">
            <w:pPr>
              <w:spacing w:after="0" w:line="240" w:lineRule="auto"/>
              <w:jc w:val="center"/>
            </w:pPr>
            <w:r>
              <w:rPr>
                <w:rFonts w:ascii="宋体" w:hAnsi="宋体" w:eastAsia="宋体"/>
                <w:b w:val="0"/>
                <w:sz w:val="20"/>
              </w:rPr>
              <w:t>✅ 达成</w:t>
            </w:r>
          </w:p>
        </w:tc>
      </w:tr>
      <w:tr w14:paraId="2ABC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D6E4F0"/>
          </w:tcPr>
          <w:p w14:paraId="30CF3F05">
            <w:pPr>
              <w:spacing w:after="0" w:line="240" w:lineRule="auto"/>
              <w:jc w:val="center"/>
            </w:pPr>
            <w:r>
              <w:rPr>
                <w:rFonts w:ascii="宋体" w:hAnsi="宋体" w:eastAsia="宋体"/>
                <w:b w:val="0"/>
                <w:sz w:val="20"/>
              </w:rPr>
              <w:t>F1 Score</w:t>
            </w:r>
          </w:p>
        </w:tc>
        <w:tc>
          <w:tcPr>
            <w:tcW w:w="2160" w:type="dxa"/>
            <w:shd w:val="clear" w:color="auto" w:fill="D6E4F0"/>
          </w:tcPr>
          <w:p w14:paraId="4E0C9C96">
            <w:pPr>
              <w:spacing w:after="0" w:line="240" w:lineRule="auto"/>
              <w:jc w:val="center"/>
            </w:pPr>
            <w:r>
              <w:rPr>
                <w:rFonts w:ascii="宋体" w:hAnsi="宋体" w:eastAsia="宋体"/>
                <w:b w:val="0"/>
                <w:sz w:val="20"/>
              </w:rPr>
              <w:t>0.9309</w:t>
            </w:r>
          </w:p>
        </w:tc>
        <w:tc>
          <w:tcPr>
            <w:tcW w:w="2160" w:type="dxa"/>
            <w:shd w:val="clear" w:color="auto" w:fill="D6E4F0"/>
          </w:tcPr>
          <w:p w14:paraId="0478C888">
            <w:pPr>
              <w:spacing w:after="0" w:line="240" w:lineRule="auto"/>
              <w:jc w:val="center"/>
            </w:pPr>
            <w:r>
              <w:rPr>
                <w:rFonts w:ascii="宋体" w:hAnsi="宋体" w:eastAsia="宋体"/>
                <w:b w:val="0"/>
                <w:sz w:val="20"/>
              </w:rPr>
              <w:t>≥ 0.88</w:t>
            </w:r>
          </w:p>
        </w:tc>
        <w:tc>
          <w:tcPr>
            <w:tcW w:w="2160" w:type="dxa"/>
            <w:shd w:val="clear" w:color="auto" w:fill="D6E4F0"/>
          </w:tcPr>
          <w:p w14:paraId="4287CC2F">
            <w:pPr>
              <w:spacing w:after="0" w:line="240" w:lineRule="auto"/>
              <w:jc w:val="center"/>
            </w:pPr>
            <w:r>
              <w:rPr>
                <w:rFonts w:ascii="宋体" w:hAnsi="宋体" w:eastAsia="宋体"/>
                <w:b w:val="0"/>
                <w:sz w:val="20"/>
              </w:rPr>
              <w:t>✅ 达成</w:t>
            </w:r>
          </w:p>
        </w:tc>
      </w:tr>
      <w:tr w14:paraId="11AB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E0CB48">
            <w:pPr>
              <w:spacing w:after="0" w:line="240" w:lineRule="auto"/>
              <w:jc w:val="center"/>
            </w:pPr>
            <w:r>
              <w:rPr>
                <w:rFonts w:ascii="宋体" w:hAnsi="宋体" w:eastAsia="宋体"/>
                <w:b w:val="0"/>
                <w:sz w:val="20"/>
              </w:rPr>
              <w:t>虚检率</w:t>
            </w:r>
          </w:p>
        </w:tc>
        <w:tc>
          <w:tcPr>
            <w:tcW w:w="2160" w:type="dxa"/>
          </w:tcPr>
          <w:p w14:paraId="5DAF9812">
            <w:pPr>
              <w:spacing w:after="0" w:line="240" w:lineRule="auto"/>
              <w:jc w:val="center"/>
            </w:pPr>
            <w:r>
              <w:rPr>
                <w:rFonts w:ascii="宋体" w:hAnsi="宋体" w:eastAsia="宋体"/>
                <w:b w:val="0"/>
                <w:sz w:val="20"/>
              </w:rPr>
              <w:t>1.60%</w:t>
            </w:r>
          </w:p>
        </w:tc>
        <w:tc>
          <w:tcPr>
            <w:tcW w:w="2160" w:type="dxa"/>
          </w:tcPr>
          <w:p w14:paraId="5AC9CD23">
            <w:pPr>
              <w:spacing w:after="0" w:line="240" w:lineRule="auto"/>
              <w:jc w:val="center"/>
            </w:pPr>
            <w:r>
              <w:rPr>
                <w:rFonts w:ascii="宋体" w:hAnsi="宋体" w:eastAsia="宋体"/>
                <w:b w:val="0"/>
                <w:sz w:val="20"/>
              </w:rPr>
              <w:t>≤ 10%</w:t>
            </w:r>
          </w:p>
        </w:tc>
        <w:tc>
          <w:tcPr>
            <w:tcW w:w="2160" w:type="dxa"/>
          </w:tcPr>
          <w:p w14:paraId="21F11236">
            <w:pPr>
              <w:spacing w:after="0" w:line="240" w:lineRule="auto"/>
              <w:jc w:val="center"/>
            </w:pPr>
            <w:r>
              <w:rPr>
                <w:rFonts w:ascii="宋体" w:hAnsi="宋体" w:eastAsia="宋体"/>
                <w:b w:val="0"/>
                <w:sz w:val="20"/>
              </w:rPr>
              <w:t>✅ 达成</w:t>
            </w:r>
          </w:p>
        </w:tc>
      </w:tr>
    </w:tbl>
    <w:p w14:paraId="49A05685">
      <w:pPr>
        <w:jc w:val="center"/>
        <w:rPr>
          <w:rFonts w:hint="default" w:ascii="黑体" w:hAnsi="黑体" w:eastAsia="黑体" w:cs="黑体"/>
          <w:b w:val="0"/>
          <w:sz w:val="21"/>
          <w:lang w:val="en-US" w:eastAsia="zh-CN"/>
        </w:rPr>
      </w:pPr>
      <w:r>
        <w:rPr>
          <w:rFonts w:hint="eastAsia" w:ascii="黑体" w:hAnsi="黑体" w:eastAsia="黑体" w:cs="黑体"/>
          <w:b w:val="0"/>
          <w:sz w:val="21"/>
          <w:lang w:val="en-US" w:eastAsia="zh-CN"/>
        </w:rPr>
        <w:t>表一 环境状态核心识别性能</w:t>
      </w:r>
    </w:p>
    <w:p w14:paraId="464CC8FF">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可见：</w:t>
      </w:r>
      <w:r>
        <w:rPr>
          <w:rFonts w:hint="eastAsia" w:ascii="方正仿宋_GBK" w:hAnsi="方正仿宋_GBK" w:eastAsia="方正仿宋_GBK" w:cs="方正仿宋_GBK"/>
          <w:b/>
          <w:bCs/>
          <w:color w:val="FF0000"/>
          <w:sz w:val="28"/>
          <w:szCs w:val="28"/>
          <w:lang w:val="en-US" w:eastAsia="zh-CN"/>
        </w:rPr>
        <w:t>所有核心分类指标均已超过申请书中预期目标</w:t>
      </w:r>
      <w:r>
        <w:rPr>
          <w:rFonts w:hint="eastAsia" w:ascii="方正仿宋_GBK" w:hAnsi="方正仿宋_GBK" w:eastAsia="方正仿宋_GBK" w:cs="方正仿宋_GBK"/>
          <w:b w:val="0"/>
          <w:bCs w:val="0"/>
          <w:sz w:val="28"/>
          <w:szCs w:val="28"/>
          <w:lang w:val="en-US" w:eastAsia="zh-CN"/>
        </w:rPr>
        <w:t>。其中：虚检率仅为1.60%，远低于10%的期望阈值；F1 Score达到0.9309，较期望值提升5.3个百分点。</w:t>
      </w:r>
    </w:p>
    <w:p w14:paraId="75F1162D">
      <w:pPr>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2.四大环境各类别详细性能</w:t>
      </w:r>
    </w:p>
    <w:p w14:paraId="6B1555A0">
      <w:pPr>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测试集中各类别详细性能表如下：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32"/>
        <w:gridCol w:w="2132"/>
        <w:gridCol w:w="2132"/>
      </w:tblGrid>
      <w:tr w14:paraId="6EDA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4472C4"/>
          </w:tcPr>
          <w:p w14:paraId="4CDE6581">
            <w:pPr>
              <w:spacing w:after="0" w:line="240" w:lineRule="auto"/>
              <w:jc w:val="center"/>
            </w:pPr>
            <w:r>
              <w:rPr>
                <w:rFonts w:ascii="宋体" w:hAnsi="宋体" w:eastAsia="宋体"/>
                <w:b/>
                <w:color w:val="FFFFFF"/>
                <w:sz w:val="20"/>
              </w:rPr>
              <w:t>环境状态</w:t>
            </w:r>
          </w:p>
        </w:tc>
        <w:tc>
          <w:tcPr>
            <w:tcW w:w="2160" w:type="dxa"/>
            <w:shd w:val="clear" w:color="auto" w:fill="4472C4"/>
          </w:tcPr>
          <w:p w14:paraId="2E260B72">
            <w:pPr>
              <w:spacing w:after="0" w:line="240" w:lineRule="auto"/>
              <w:jc w:val="center"/>
            </w:pPr>
            <w:r>
              <w:rPr>
                <w:rFonts w:ascii="宋体" w:hAnsi="宋体" w:eastAsia="宋体"/>
                <w:b/>
                <w:color w:val="FFFFFF"/>
                <w:sz w:val="20"/>
              </w:rPr>
              <w:t>精确率</w:t>
            </w:r>
          </w:p>
        </w:tc>
        <w:tc>
          <w:tcPr>
            <w:tcW w:w="2160" w:type="dxa"/>
            <w:shd w:val="clear" w:color="auto" w:fill="4472C4"/>
          </w:tcPr>
          <w:p w14:paraId="0212C53B">
            <w:pPr>
              <w:spacing w:after="0" w:line="240" w:lineRule="auto"/>
              <w:jc w:val="center"/>
            </w:pPr>
            <w:r>
              <w:rPr>
                <w:rFonts w:ascii="宋体" w:hAnsi="宋体" w:eastAsia="宋体"/>
                <w:b/>
                <w:color w:val="FFFFFF"/>
                <w:sz w:val="20"/>
              </w:rPr>
              <w:t>召回率</w:t>
            </w:r>
          </w:p>
        </w:tc>
        <w:tc>
          <w:tcPr>
            <w:tcW w:w="2160" w:type="dxa"/>
            <w:shd w:val="clear" w:color="auto" w:fill="4472C4"/>
          </w:tcPr>
          <w:p w14:paraId="4E3821C3">
            <w:pPr>
              <w:spacing w:after="0" w:line="240" w:lineRule="auto"/>
              <w:jc w:val="center"/>
            </w:pPr>
            <w:r>
              <w:rPr>
                <w:rFonts w:ascii="宋体" w:hAnsi="宋体" w:eastAsia="宋体"/>
                <w:b/>
                <w:color w:val="FFFFFF"/>
                <w:sz w:val="20"/>
              </w:rPr>
              <w:t>F1 Score</w:t>
            </w:r>
          </w:p>
        </w:tc>
      </w:tr>
      <w:tr w14:paraId="1FBC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937CCA">
            <w:pPr>
              <w:spacing w:after="0" w:line="240" w:lineRule="auto"/>
              <w:jc w:val="center"/>
            </w:pPr>
            <w:r>
              <w:rPr>
                <w:rFonts w:ascii="宋体" w:hAnsi="宋体" w:eastAsia="宋体"/>
                <w:b w:val="0"/>
                <w:sz w:val="20"/>
              </w:rPr>
              <w:t>正常环境</w:t>
            </w:r>
          </w:p>
        </w:tc>
        <w:tc>
          <w:tcPr>
            <w:tcW w:w="2160" w:type="dxa"/>
          </w:tcPr>
          <w:p w14:paraId="0B956587">
            <w:pPr>
              <w:spacing w:after="0" w:line="240" w:lineRule="auto"/>
              <w:jc w:val="center"/>
            </w:pPr>
            <w:r>
              <w:rPr>
                <w:rFonts w:ascii="宋体" w:hAnsi="宋体" w:eastAsia="宋体"/>
                <w:b w:val="0"/>
                <w:sz w:val="20"/>
              </w:rPr>
              <w:t>88.0%</w:t>
            </w:r>
          </w:p>
        </w:tc>
        <w:tc>
          <w:tcPr>
            <w:tcW w:w="2160" w:type="dxa"/>
          </w:tcPr>
          <w:p w14:paraId="0CD21CA2">
            <w:pPr>
              <w:spacing w:after="0" w:line="240" w:lineRule="auto"/>
              <w:jc w:val="center"/>
            </w:pPr>
            <w:r>
              <w:rPr>
                <w:rFonts w:ascii="宋体" w:hAnsi="宋体" w:eastAsia="宋体"/>
                <w:b w:val="0"/>
                <w:sz w:val="20"/>
              </w:rPr>
              <w:t>98.4%</w:t>
            </w:r>
          </w:p>
        </w:tc>
        <w:tc>
          <w:tcPr>
            <w:tcW w:w="2160" w:type="dxa"/>
          </w:tcPr>
          <w:p w14:paraId="7364E045">
            <w:pPr>
              <w:spacing w:after="0" w:line="240" w:lineRule="auto"/>
              <w:jc w:val="center"/>
            </w:pPr>
            <w:r>
              <w:rPr>
                <w:rFonts w:ascii="宋体" w:hAnsi="宋体" w:eastAsia="宋体"/>
                <w:b w:val="0"/>
                <w:sz w:val="20"/>
              </w:rPr>
              <w:t>0.929</w:t>
            </w:r>
          </w:p>
        </w:tc>
      </w:tr>
      <w:tr w14:paraId="2103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D6E4F0"/>
          </w:tcPr>
          <w:p w14:paraId="2E1750E4">
            <w:pPr>
              <w:spacing w:after="0" w:line="240" w:lineRule="auto"/>
              <w:jc w:val="center"/>
            </w:pPr>
            <w:r>
              <w:rPr>
                <w:rFonts w:ascii="宋体" w:hAnsi="宋体" w:eastAsia="宋体"/>
                <w:b w:val="0"/>
                <w:sz w:val="20"/>
              </w:rPr>
              <w:t>障碍遮挡</w:t>
            </w:r>
          </w:p>
        </w:tc>
        <w:tc>
          <w:tcPr>
            <w:tcW w:w="2160" w:type="dxa"/>
            <w:shd w:val="clear" w:color="auto" w:fill="D6E4F0"/>
          </w:tcPr>
          <w:p w14:paraId="60DE67AF">
            <w:pPr>
              <w:spacing w:after="0" w:line="240" w:lineRule="auto"/>
              <w:jc w:val="center"/>
            </w:pPr>
            <w:r>
              <w:rPr>
                <w:rFonts w:ascii="宋体" w:hAnsi="宋体" w:eastAsia="宋体"/>
                <w:b w:val="0"/>
                <w:sz w:val="20"/>
              </w:rPr>
              <w:t>94.6%</w:t>
            </w:r>
          </w:p>
        </w:tc>
        <w:tc>
          <w:tcPr>
            <w:tcW w:w="2160" w:type="dxa"/>
            <w:shd w:val="clear" w:color="auto" w:fill="D6E4F0"/>
          </w:tcPr>
          <w:p w14:paraId="2ABD0089">
            <w:pPr>
              <w:spacing w:after="0" w:line="240" w:lineRule="auto"/>
              <w:jc w:val="center"/>
            </w:pPr>
            <w:r>
              <w:rPr>
                <w:rFonts w:ascii="宋体" w:hAnsi="宋体" w:eastAsia="宋体"/>
                <w:b w:val="0"/>
                <w:sz w:val="20"/>
              </w:rPr>
              <w:t>93.7%</w:t>
            </w:r>
          </w:p>
        </w:tc>
        <w:tc>
          <w:tcPr>
            <w:tcW w:w="2160" w:type="dxa"/>
            <w:shd w:val="clear" w:color="auto" w:fill="D6E4F0"/>
          </w:tcPr>
          <w:p w14:paraId="71E5A89C">
            <w:pPr>
              <w:spacing w:after="0" w:line="240" w:lineRule="auto"/>
              <w:jc w:val="center"/>
            </w:pPr>
            <w:r>
              <w:rPr>
                <w:rFonts w:ascii="宋体" w:hAnsi="宋体" w:eastAsia="宋体"/>
                <w:b w:val="0"/>
                <w:sz w:val="20"/>
              </w:rPr>
              <w:t>0.941</w:t>
            </w:r>
          </w:p>
        </w:tc>
      </w:tr>
      <w:tr w14:paraId="56D7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440EEC">
            <w:pPr>
              <w:spacing w:after="0" w:line="240" w:lineRule="auto"/>
              <w:jc w:val="center"/>
            </w:pPr>
            <w:r>
              <w:rPr>
                <w:rFonts w:ascii="宋体" w:hAnsi="宋体" w:eastAsia="宋体"/>
                <w:b w:val="0"/>
                <w:sz w:val="20"/>
              </w:rPr>
              <w:t>同频干扰</w:t>
            </w:r>
          </w:p>
        </w:tc>
        <w:tc>
          <w:tcPr>
            <w:tcW w:w="2160" w:type="dxa"/>
          </w:tcPr>
          <w:p w14:paraId="48B6B858">
            <w:pPr>
              <w:spacing w:after="0" w:line="240" w:lineRule="auto"/>
              <w:jc w:val="center"/>
            </w:pPr>
            <w:r>
              <w:rPr>
                <w:rFonts w:ascii="宋体" w:hAnsi="宋体" w:eastAsia="宋体"/>
                <w:b w:val="0"/>
                <w:sz w:val="20"/>
              </w:rPr>
              <w:t>94.4%</w:t>
            </w:r>
          </w:p>
        </w:tc>
        <w:tc>
          <w:tcPr>
            <w:tcW w:w="2160" w:type="dxa"/>
          </w:tcPr>
          <w:p w14:paraId="1EC24DDB">
            <w:pPr>
              <w:spacing w:after="0" w:line="240" w:lineRule="auto"/>
              <w:jc w:val="center"/>
            </w:pPr>
            <w:r>
              <w:rPr>
                <w:rFonts w:ascii="宋体" w:hAnsi="宋体" w:eastAsia="宋体"/>
                <w:b w:val="0"/>
                <w:sz w:val="20"/>
              </w:rPr>
              <w:t>95.3%</w:t>
            </w:r>
          </w:p>
        </w:tc>
        <w:tc>
          <w:tcPr>
            <w:tcW w:w="2160" w:type="dxa"/>
          </w:tcPr>
          <w:p w14:paraId="17CAAC07">
            <w:pPr>
              <w:spacing w:after="0" w:line="240" w:lineRule="auto"/>
              <w:jc w:val="center"/>
            </w:pPr>
            <w:r>
              <w:rPr>
                <w:rFonts w:ascii="宋体" w:hAnsi="宋体" w:eastAsia="宋体"/>
                <w:b w:val="0"/>
                <w:sz w:val="20"/>
              </w:rPr>
              <w:t>0.948</w:t>
            </w:r>
          </w:p>
        </w:tc>
      </w:tr>
      <w:tr w14:paraId="7B58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D6E4F0"/>
          </w:tcPr>
          <w:p w14:paraId="5E23D1DE">
            <w:pPr>
              <w:spacing w:after="0" w:line="240" w:lineRule="auto"/>
              <w:jc w:val="center"/>
            </w:pPr>
            <w:r>
              <w:rPr>
                <w:rFonts w:ascii="宋体" w:hAnsi="宋体" w:eastAsia="宋体"/>
                <w:b w:val="0"/>
                <w:sz w:val="20"/>
              </w:rPr>
              <w:t>降雨扰动</w:t>
            </w:r>
          </w:p>
        </w:tc>
        <w:tc>
          <w:tcPr>
            <w:tcW w:w="2160" w:type="dxa"/>
            <w:shd w:val="clear" w:color="auto" w:fill="D6E4F0"/>
          </w:tcPr>
          <w:p w14:paraId="121FEAEA">
            <w:pPr>
              <w:spacing w:after="0" w:line="240" w:lineRule="auto"/>
              <w:jc w:val="center"/>
            </w:pPr>
            <w:r>
              <w:rPr>
                <w:rFonts w:ascii="宋体" w:hAnsi="宋体" w:eastAsia="宋体"/>
                <w:b w:val="0"/>
                <w:sz w:val="20"/>
              </w:rPr>
              <w:t>96.0%</w:t>
            </w:r>
          </w:p>
        </w:tc>
        <w:tc>
          <w:tcPr>
            <w:tcW w:w="2160" w:type="dxa"/>
            <w:shd w:val="clear" w:color="auto" w:fill="D6E4F0"/>
          </w:tcPr>
          <w:p w14:paraId="2296196F">
            <w:pPr>
              <w:spacing w:after="0" w:line="240" w:lineRule="auto"/>
              <w:jc w:val="center"/>
            </w:pPr>
            <w:r>
              <w:rPr>
                <w:rFonts w:ascii="宋体" w:hAnsi="宋体" w:eastAsia="宋体"/>
                <w:b w:val="0"/>
                <w:sz w:val="20"/>
              </w:rPr>
              <w:t>85.1%</w:t>
            </w:r>
          </w:p>
        </w:tc>
        <w:tc>
          <w:tcPr>
            <w:tcW w:w="2160" w:type="dxa"/>
            <w:shd w:val="clear" w:color="auto" w:fill="D6E4F0"/>
          </w:tcPr>
          <w:p w14:paraId="003E57C8">
            <w:pPr>
              <w:spacing w:after="0" w:line="240" w:lineRule="auto"/>
              <w:jc w:val="center"/>
            </w:pPr>
            <w:r>
              <w:rPr>
                <w:rFonts w:ascii="宋体" w:hAnsi="宋体" w:eastAsia="宋体"/>
                <w:b w:val="0"/>
                <w:sz w:val="20"/>
              </w:rPr>
              <w:t>0.902</w:t>
            </w:r>
          </w:p>
        </w:tc>
      </w:tr>
    </w:tbl>
    <w:p w14:paraId="66E357C2">
      <w:pPr>
        <w:jc w:val="center"/>
        <w:rPr>
          <w:rFonts w:hint="eastAsia" w:ascii="方正仿宋_GBK" w:hAnsi="方正仿宋_GBK" w:eastAsia="方正仿宋_GBK" w:cs="方正仿宋_GBK"/>
          <w:b w:val="0"/>
          <w:bCs w:val="0"/>
          <w:sz w:val="28"/>
          <w:szCs w:val="28"/>
          <w:lang w:val="en-US" w:eastAsia="zh-CN"/>
        </w:rPr>
      </w:pPr>
      <w:r>
        <w:rPr>
          <w:rFonts w:hint="eastAsia" w:ascii="黑体" w:hAnsi="黑体" w:eastAsia="黑体" w:cs="黑体"/>
          <w:b w:val="0"/>
          <w:sz w:val="21"/>
          <w:lang w:val="en-US" w:eastAsia="zh-CN"/>
        </w:rPr>
        <w:t>表二 环境状态各类别识别性能</w:t>
      </w:r>
    </w:p>
    <w:p w14:paraId="7D26B0FB">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重点关注其精确率与召回率：</w:t>
      </w:r>
    </w:p>
    <w:p w14:paraId="2C24ED9F">
      <w:pPr>
        <w:jc w:val="center"/>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drawing>
          <wp:inline distT="0" distB="0" distL="114300" distR="114300">
            <wp:extent cx="2201545" cy="2314575"/>
            <wp:effectExtent l="0" t="0" r="8255" b="9525"/>
            <wp:docPr id="5" name="图片 5" descr="performance_dashboa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erformance_dashboard(1)"/>
                    <pic:cNvPicPr>
                      <a:picLocks noChangeAspect="1"/>
                    </pic:cNvPicPr>
                  </pic:nvPicPr>
                  <pic:blipFill>
                    <a:blip r:embed="rId8"/>
                    <a:stretch>
                      <a:fillRect/>
                    </a:stretch>
                  </pic:blipFill>
                  <pic:spPr>
                    <a:xfrm>
                      <a:off x="0" y="0"/>
                      <a:ext cx="2201545" cy="2314575"/>
                    </a:xfrm>
                    <a:prstGeom prst="rect">
                      <a:avLst/>
                    </a:prstGeom>
                  </pic:spPr>
                </pic:pic>
              </a:graphicData>
            </a:graphic>
          </wp:inline>
        </w:drawing>
      </w:r>
      <w:r>
        <w:rPr>
          <w:rFonts w:hint="eastAsia" w:ascii="方正仿宋_GBK" w:hAnsi="方正仿宋_GBK" w:eastAsia="方正仿宋_GBK" w:cs="方正仿宋_GBK"/>
          <w:b w:val="0"/>
          <w:bCs w:val="0"/>
          <w:sz w:val="28"/>
          <w:szCs w:val="28"/>
          <w:lang w:val="en-US" w:eastAsia="zh-CN"/>
        </w:rPr>
        <w:t xml:space="preserve">     </w:t>
      </w:r>
      <w:r>
        <w:rPr>
          <w:rFonts w:hint="default" w:ascii="方正仿宋_GBK" w:hAnsi="方正仿宋_GBK" w:eastAsia="方正仿宋_GBK" w:cs="方正仿宋_GBK"/>
          <w:b w:val="0"/>
          <w:bCs w:val="0"/>
          <w:sz w:val="28"/>
          <w:szCs w:val="28"/>
          <w:lang w:val="en-US" w:eastAsia="zh-CN"/>
        </w:rPr>
        <w:drawing>
          <wp:inline distT="0" distB="0" distL="114300" distR="114300">
            <wp:extent cx="2592070" cy="2316480"/>
            <wp:effectExtent l="0" t="0" r="11430" b="7620"/>
            <wp:docPr id="3" name="图片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nfusion_matrix"/>
                    <pic:cNvPicPr>
                      <a:picLocks noChangeAspect="1"/>
                    </pic:cNvPicPr>
                  </pic:nvPicPr>
                  <pic:blipFill>
                    <a:blip r:embed="rId9"/>
                    <a:stretch>
                      <a:fillRect/>
                    </a:stretch>
                  </pic:blipFill>
                  <pic:spPr>
                    <a:xfrm>
                      <a:off x="0" y="0"/>
                      <a:ext cx="2592070" cy="2316480"/>
                    </a:xfrm>
                    <a:prstGeom prst="rect">
                      <a:avLst/>
                    </a:prstGeom>
                  </pic:spPr>
                </pic:pic>
              </a:graphicData>
            </a:graphic>
          </wp:inline>
        </w:drawing>
      </w:r>
    </w:p>
    <w:p w14:paraId="28345AD5">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这表明：即便系统F1分数已经比较乐观，但在该测试集中，正常环境下的精确率稍低于预期，为88%。；而在降雨扰动的情况下，召回率则相对较低，仅85%(有10%的明显差距)。这是因为降雨特征在Sub-6GHz低频段受雨衰影响较小，与正常环境的区分度不够明显，导致模型对气象异常的敏感度下降。后续或可通过使用更为精细的降雨强度标签加以改善。</w:t>
      </w:r>
    </w:p>
    <w:p w14:paraId="710B1570">
      <w:pPr>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3.态势地图与空间感知</w:t>
      </w:r>
    </w:p>
    <w:p w14:paraId="58F851C0">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为模拟现实信号盲区而将基站覆盖半径设为350m。</w:t>
      </w:r>
    </w:p>
    <w:p w14:paraId="6D5E07CE">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将地图分为4个500x500的小块态势地图，计算区域覆盖率。可以看出：基站协同率呈现出近似线性的增长趋势；</w:t>
      </w:r>
    </w:p>
    <w:p w14:paraId="16688741">
      <w:pPr>
        <w:ind w:firstLine="560" w:firstLineChars="200"/>
        <w:rPr>
          <w:rFonts w:hint="eastAsia" w:ascii="方正仿宋_GBK" w:hAnsi="方正仿宋_GBK" w:eastAsia="方正仿宋_GBK" w:cs="方正仿宋_GBK"/>
          <w:b w:val="0"/>
          <w:bCs w:val="0"/>
          <w:sz w:val="28"/>
          <w:szCs w:val="28"/>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42"/>
        <w:gridCol w:w="2843"/>
      </w:tblGrid>
      <w:tr w14:paraId="4119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4472C4"/>
          </w:tcPr>
          <w:p w14:paraId="2B19FD33">
            <w:pPr>
              <w:widowControl/>
              <w:spacing w:after="0" w:line="240" w:lineRule="auto"/>
              <w:jc w:val="center"/>
              <w:rPr>
                <w:rFonts w:ascii="宋体" w:hAnsi="宋体" w:eastAsia="宋体" w:cs="Times New Roman"/>
                <w:kern w:val="0"/>
                <w:lang w:eastAsia="en-US"/>
              </w:rPr>
            </w:pPr>
            <w:r>
              <w:rPr>
                <w:rFonts w:ascii="宋体" w:hAnsi="宋体" w:eastAsia="宋体" w:cs="Times New Roman"/>
                <w:b/>
                <w:color w:val="FFFFFF"/>
                <w:kern w:val="0"/>
                <w:sz w:val="20"/>
                <w:lang w:eastAsia="en-US"/>
              </w:rPr>
              <w:t>基站数量</w:t>
            </w:r>
          </w:p>
        </w:tc>
        <w:tc>
          <w:tcPr>
            <w:tcW w:w="2880" w:type="dxa"/>
            <w:shd w:val="clear" w:color="auto" w:fill="4472C4"/>
          </w:tcPr>
          <w:p w14:paraId="6FA8FD36">
            <w:pPr>
              <w:widowControl/>
              <w:spacing w:after="0" w:line="240" w:lineRule="auto"/>
              <w:jc w:val="center"/>
              <w:rPr>
                <w:rFonts w:ascii="宋体" w:hAnsi="宋体" w:eastAsia="宋体" w:cs="Times New Roman"/>
                <w:kern w:val="0"/>
                <w:lang w:eastAsia="en-US"/>
              </w:rPr>
            </w:pPr>
            <w:r>
              <w:rPr>
                <w:rFonts w:ascii="宋体" w:hAnsi="宋体" w:eastAsia="宋体" w:cs="Times New Roman"/>
                <w:b/>
                <w:color w:val="FFFFFF"/>
                <w:kern w:val="0"/>
                <w:sz w:val="20"/>
                <w:lang w:eastAsia="en-US"/>
              </w:rPr>
              <w:t>区域覆盖率</w:t>
            </w:r>
          </w:p>
        </w:tc>
        <w:tc>
          <w:tcPr>
            <w:tcW w:w="2880" w:type="dxa"/>
            <w:shd w:val="clear" w:color="auto" w:fill="4472C4"/>
          </w:tcPr>
          <w:p w14:paraId="28BFF1FC">
            <w:pPr>
              <w:widowControl/>
              <w:spacing w:after="0" w:line="240" w:lineRule="auto"/>
              <w:jc w:val="center"/>
              <w:rPr>
                <w:rFonts w:ascii="宋体" w:hAnsi="宋体" w:eastAsia="宋体" w:cs="Times New Roman"/>
                <w:kern w:val="0"/>
                <w:lang w:eastAsia="en-US"/>
              </w:rPr>
            </w:pPr>
            <w:r>
              <w:rPr>
                <w:rFonts w:ascii="宋体" w:hAnsi="宋体" w:eastAsia="宋体" w:cs="Times New Roman"/>
                <w:b/>
                <w:color w:val="FFFFFF"/>
                <w:kern w:val="0"/>
                <w:sz w:val="20"/>
                <w:lang w:eastAsia="en-US"/>
              </w:rPr>
              <w:t>相对单站提升</w:t>
            </w:r>
          </w:p>
        </w:tc>
      </w:tr>
      <w:tr w14:paraId="60D8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DF0E65">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1</w:t>
            </w:r>
          </w:p>
        </w:tc>
        <w:tc>
          <w:tcPr>
            <w:tcW w:w="2880" w:type="dxa"/>
          </w:tcPr>
          <w:p w14:paraId="49D94300">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17.7%</w:t>
            </w:r>
          </w:p>
        </w:tc>
        <w:tc>
          <w:tcPr>
            <w:tcW w:w="2880" w:type="dxa"/>
          </w:tcPr>
          <w:p w14:paraId="76F88B3C">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基线</w:t>
            </w:r>
          </w:p>
        </w:tc>
      </w:tr>
      <w:tr w14:paraId="0253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6E4F0"/>
          </w:tcPr>
          <w:p w14:paraId="40F9F249">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2</w:t>
            </w:r>
          </w:p>
        </w:tc>
        <w:tc>
          <w:tcPr>
            <w:tcW w:w="2880" w:type="dxa"/>
            <w:shd w:val="clear" w:color="auto" w:fill="D6E4F0"/>
          </w:tcPr>
          <w:p w14:paraId="43262675">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35.4%</w:t>
            </w:r>
          </w:p>
        </w:tc>
        <w:tc>
          <w:tcPr>
            <w:tcW w:w="2880" w:type="dxa"/>
            <w:shd w:val="clear" w:color="auto" w:fill="D6E4F0"/>
          </w:tcPr>
          <w:p w14:paraId="549452E0">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+100%</w:t>
            </w:r>
          </w:p>
        </w:tc>
      </w:tr>
      <w:tr w14:paraId="0155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BEBB81">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3</w:t>
            </w:r>
          </w:p>
        </w:tc>
        <w:tc>
          <w:tcPr>
            <w:tcW w:w="2880" w:type="dxa"/>
          </w:tcPr>
          <w:p w14:paraId="04EC59BE">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53.0%</w:t>
            </w:r>
          </w:p>
        </w:tc>
        <w:tc>
          <w:tcPr>
            <w:tcW w:w="2880" w:type="dxa"/>
          </w:tcPr>
          <w:p w14:paraId="4034FD92">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w:t>
            </w:r>
            <w:r>
              <w:rPr>
                <w:rFonts w:hint="eastAsia" w:ascii="宋体" w:hAnsi="宋体" w:eastAsia="宋体" w:cs="Times New Roman"/>
                <w:b w:val="0"/>
                <w:kern w:val="0"/>
                <w:sz w:val="20"/>
                <w:lang w:val="en-US" w:eastAsia="zh-CN"/>
              </w:rPr>
              <w:t>199</w:t>
            </w:r>
            <w:r>
              <w:rPr>
                <w:rFonts w:ascii="宋体" w:hAnsi="宋体" w:eastAsia="宋体" w:cs="Times New Roman"/>
                <w:b w:val="0"/>
                <w:kern w:val="0"/>
                <w:sz w:val="20"/>
                <w:lang w:eastAsia="en-US"/>
              </w:rPr>
              <w:t>%</w:t>
            </w:r>
          </w:p>
        </w:tc>
      </w:tr>
      <w:tr w14:paraId="4BCF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6E4F0"/>
          </w:tcPr>
          <w:p w14:paraId="22E79F19">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4</w:t>
            </w:r>
          </w:p>
        </w:tc>
        <w:tc>
          <w:tcPr>
            <w:tcW w:w="2880" w:type="dxa"/>
            <w:shd w:val="clear" w:color="auto" w:fill="D6E4F0"/>
          </w:tcPr>
          <w:p w14:paraId="35AC5B3E">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70.7%</w:t>
            </w:r>
          </w:p>
        </w:tc>
        <w:tc>
          <w:tcPr>
            <w:tcW w:w="2880" w:type="dxa"/>
            <w:shd w:val="clear" w:color="auto" w:fill="D6E4F0"/>
          </w:tcPr>
          <w:p w14:paraId="56F3969F">
            <w:pPr>
              <w:widowControl/>
              <w:spacing w:after="0" w:line="240" w:lineRule="auto"/>
              <w:jc w:val="center"/>
              <w:rPr>
                <w:rFonts w:ascii="宋体" w:hAnsi="宋体" w:eastAsia="宋体" w:cs="Times New Roman"/>
                <w:kern w:val="0"/>
                <w:lang w:eastAsia="en-US"/>
              </w:rPr>
            </w:pPr>
            <w:r>
              <w:rPr>
                <w:rFonts w:ascii="宋体" w:hAnsi="宋体" w:eastAsia="宋体" w:cs="Times New Roman"/>
                <w:b w:val="0"/>
                <w:kern w:val="0"/>
                <w:sz w:val="20"/>
                <w:lang w:eastAsia="en-US"/>
              </w:rPr>
              <w:t>+</w:t>
            </w:r>
            <w:r>
              <w:rPr>
                <w:rFonts w:hint="eastAsia" w:ascii="宋体" w:hAnsi="宋体" w:eastAsia="宋体" w:cs="Times New Roman"/>
                <w:b w:val="0"/>
                <w:kern w:val="0"/>
                <w:sz w:val="20"/>
                <w:lang w:val="en-US" w:eastAsia="zh-CN"/>
              </w:rPr>
              <w:t>299</w:t>
            </w:r>
            <w:r>
              <w:rPr>
                <w:rFonts w:ascii="宋体" w:hAnsi="宋体" w:eastAsia="宋体" w:cs="Times New Roman"/>
                <w:b w:val="0"/>
                <w:kern w:val="0"/>
                <w:sz w:val="20"/>
                <w:lang w:eastAsia="en-US"/>
              </w:rPr>
              <w:t>%</w:t>
            </w:r>
          </w:p>
        </w:tc>
      </w:tr>
    </w:tbl>
    <w:p w14:paraId="66FF48DC">
      <w:pPr>
        <w:jc w:val="center"/>
        <w:rPr>
          <w:rFonts w:hint="eastAsia" w:ascii="方正仿宋_GBK" w:hAnsi="方正仿宋_GBK" w:eastAsia="方正仿宋_GBK" w:cs="方正仿宋_GBK"/>
          <w:b w:val="0"/>
          <w:bCs w:val="0"/>
          <w:sz w:val="28"/>
          <w:szCs w:val="28"/>
          <w:lang w:val="en-US" w:eastAsia="zh-CN"/>
        </w:rPr>
      </w:pPr>
      <w:r>
        <w:rPr>
          <w:rFonts w:hint="eastAsia" w:ascii="黑体" w:hAnsi="黑体" w:eastAsia="黑体" w:cs="黑体"/>
          <w:b w:val="0"/>
          <w:sz w:val="21"/>
          <w:lang w:val="en-US" w:eastAsia="zh-CN"/>
        </w:rPr>
        <w:t>表三 区域覆盖率</w:t>
      </w:r>
    </w:p>
    <w:p w14:paraId="37AA0762">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基于RBF空间插值算法生成环境态势地图，与实际环境态势地图进行对比，评估多基站协同感知与对盲区的预测能力。</w:t>
      </w:r>
    </w:p>
    <w:p w14:paraId="528CFA16">
      <w:pPr>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drawing>
          <wp:inline distT="0" distB="0" distL="114300" distR="114300">
            <wp:extent cx="5268595" cy="1556385"/>
            <wp:effectExtent l="0" t="0" r="1905" b="5715"/>
            <wp:docPr id="9" name="图片 9" descr="map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ap_comparison"/>
                    <pic:cNvPicPr>
                      <a:picLocks noChangeAspect="1"/>
                    </pic:cNvPicPr>
                  </pic:nvPicPr>
                  <pic:blipFill>
                    <a:blip r:embed="rId10"/>
                    <a:stretch>
                      <a:fillRect/>
                    </a:stretch>
                  </pic:blipFill>
                  <pic:spPr>
                    <a:xfrm>
                      <a:off x="0" y="0"/>
                      <a:ext cx="5268595" cy="1556385"/>
                    </a:xfrm>
                    <a:prstGeom prst="rect">
                      <a:avLst/>
                    </a:prstGeom>
                  </pic:spPr>
                </pic:pic>
              </a:graphicData>
            </a:graphic>
          </wp:inline>
        </w:drawing>
      </w:r>
    </w:p>
    <w:p w14:paraId="1A7A6F3E">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经测试，得：</w:t>
      </w:r>
    </w:p>
    <w:p w14:paraId="4DF43F29">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1).平均绝对误差(MA)=1.559：即从整体上看，平均每个点会产生约1.559个单位的偏差。该数值相对平缓，说明在大多数常规区域，模型的整体趋势拟合效果不错；</w:t>
      </w:r>
    </w:p>
    <w:p w14:paraId="65961B13">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2).均方根误差(RMSE)=3.813：这说明在地图的某些特定区域，产生了</w:t>
      </w:r>
      <w:r>
        <w:rPr>
          <w:rFonts w:hint="eastAsia" w:ascii="方正仿宋_GBK" w:hAnsi="方正仿宋_GBK" w:eastAsia="方正仿宋_GBK" w:cs="方正仿宋_GBK"/>
          <w:b/>
          <w:bCs/>
          <w:color w:val="FF0000"/>
          <w:sz w:val="28"/>
          <w:szCs w:val="28"/>
          <w:lang w:val="en-US" w:eastAsia="zh-CN"/>
        </w:rPr>
        <w:t>相当大</w:t>
      </w:r>
      <w:r>
        <w:rPr>
          <w:rFonts w:hint="eastAsia" w:ascii="方正仿宋_GBK" w:hAnsi="方正仿宋_GBK" w:eastAsia="方正仿宋_GBK" w:cs="方正仿宋_GBK"/>
          <w:b w:val="0"/>
          <w:bCs w:val="0"/>
          <w:sz w:val="28"/>
          <w:szCs w:val="28"/>
          <w:lang w:val="en-US" w:eastAsia="zh-CN"/>
        </w:rPr>
        <w:t>的局部错判，从而拉高了整体误差；</w:t>
      </w:r>
    </w:p>
    <w:p w14:paraId="0467FB76">
      <w:pPr>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3).空间重构误差约=76.27m：表明预测环境态势边界与真实物理位置之间的空间偏差已经相当高</w:t>
      </w:r>
      <w:r>
        <w:rPr>
          <w:rFonts w:hint="eastAsia" w:ascii="方正仿宋_GBK" w:hAnsi="方正仿宋_GBK" w:eastAsia="方正仿宋_GBK" w:cs="方正仿宋_GBK"/>
          <w:b w:val="0"/>
          <w:bCs w:val="0"/>
          <w:color w:val="auto"/>
          <w:sz w:val="28"/>
          <w:szCs w:val="28"/>
          <w:lang w:val="en-US" w:eastAsia="zh-CN"/>
        </w:rPr>
        <w:t>(即便以NLoS的标准加以比较，仍</w:t>
      </w:r>
      <w:r>
        <w:rPr>
          <w:rFonts w:hint="eastAsia" w:ascii="方正仿宋_GBK" w:hAnsi="方正仿宋_GBK" w:eastAsia="方正仿宋_GBK" w:cs="方正仿宋_GBK"/>
          <w:b/>
          <w:bCs/>
          <w:color w:val="FF0000"/>
          <w:sz w:val="28"/>
          <w:szCs w:val="28"/>
          <w:lang w:val="en-US" w:eastAsia="zh-CN"/>
        </w:rPr>
        <w:t>&gt;&gt;20m</w:t>
      </w:r>
      <w:r>
        <w:rPr>
          <w:rFonts w:hint="eastAsia" w:ascii="方正仿宋_GBK" w:hAnsi="方正仿宋_GBK" w:eastAsia="方正仿宋_GBK" w:cs="方正仿宋_GBK"/>
          <w:b w:val="0"/>
          <w:bCs w:val="0"/>
          <w:sz w:val="28"/>
          <w:szCs w:val="28"/>
          <w:lang w:val="en-US" w:eastAsia="zh-CN"/>
        </w:rPr>
        <w:t>)。这是因为使用的RBF算法建立在纯数理平滑假说上，并不能很好的表达建筑物阴影造成的电磁场断层与突变，故原型系统空间重构与感知率还未达预期。</w:t>
      </w:r>
    </w:p>
    <w:p w14:paraId="53FE51E6">
      <w:pPr>
        <w:rPr>
          <w:rFonts w:hint="default" w:ascii="楷体" w:hAnsi="楷体" w:eastAsia="楷体" w:cs="楷体"/>
          <w:b/>
          <w:bCs/>
          <w:sz w:val="28"/>
          <w:szCs w:val="28"/>
          <w:lang w:val="en-US" w:eastAsia="zh-CN"/>
        </w:rPr>
      </w:pPr>
    </w:p>
    <w:p w14:paraId="551867EF">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五.实验总结</w:t>
      </w:r>
    </w:p>
    <w:p w14:paraId="243BCDF3">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本次实验成功搭建了对基于</w:t>
      </w:r>
      <w:r>
        <w:rPr>
          <w:rFonts w:hint="eastAsia" w:ascii="方正仿宋_GBK" w:hAnsi="方正仿宋_GBK" w:eastAsia="方正仿宋_GBK" w:cs="方正仿宋_GBK"/>
          <w:b w:val="0"/>
          <w:bCs w:val="0"/>
          <w:sz w:val="24"/>
          <w:szCs w:val="24"/>
        </w:rPr>
        <w:t>AI</w:t>
      </w:r>
      <w:r>
        <w:rPr>
          <w:rFonts w:hint="eastAsia" w:ascii="方正仿宋_GBK" w:hAnsi="方正仿宋_GBK" w:eastAsia="方正仿宋_GBK" w:cs="方正仿宋_GBK"/>
          <w:b w:val="0"/>
          <w:bCs w:val="0"/>
          <w:sz w:val="28"/>
          <w:szCs w:val="28"/>
        </w:rPr>
        <w:t>的低空</w:t>
      </w:r>
      <w:r>
        <w:rPr>
          <w:rFonts w:hint="eastAsia" w:ascii="方正仿宋_GBK" w:hAnsi="方正仿宋_GBK" w:eastAsia="方正仿宋_GBK" w:cs="方正仿宋_GBK"/>
          <w:b w:val="0"/>
          <w:bCs w:val="0"/>
          <w:sz w:val="28"/>
          <w:szCs w:val="28"/>
          <w:lang w:val="en-US" w:eastAsia="zh-CN"/>
        </w:rPr>
        <w:t>无线环境认知与风险预测原型系统，在实际测试中，于某些方面达到甚至超过了预期目标。然而，必须承认其在态势地图生成与空间感知层面上的巨大不足(因时间关系，尚未使用如DeepMIMO经典街景数据[e.g newyork、chicago]进行陌生环境测试)，且以上实验结果均为电脑仿真模拟得到，还未在边缘上进行实机检测，也还没有开展跨场景迁移实验</w:t>
      </w:r>
      <w:bookmarkStart w:id="0" w:name="_GoBack"/>
      <w:bookmarkEnd w:id="0"/>
      <w:r>
        <w:rPr>
          <w:rFonts w:hint="eastAsia" w:ascii="方正仿宋_GBK" w:hAnsi="方正仿宋_GBK" w:eastAsia="方正仿宋_GBK" w:cs="方正仿宋_GBK"/>
          <w:b w:val="0"/>
          <w:bCs w:val="0"/>
          <w:sz w:val="28"/>
          <w:szCs w:val="28"/>
          <w:lang w:val="en-US" w:eastAsia="zh-CN"/>
        </w:rPr>
        <w:t>。</w:t>
      </w:r>
    </w:p>
    <w:p w14:paraId="05F8A1BE">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因此，程序优化工作拟包括：</w:t>
      </w:r>
    </w:p>
    <w:p w14:paraId="168292C5">
      <w:pPr>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a.升级地图生成模型：选用深度地图生成网络(e.g: U-Net、扩散模型、cGAN等)替换掉简单RBF插值；</w:t>
      </w:r>
    </w:p>
    <w:p w14:paraId="45AD3ADE">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b.开展边缘部署实测：在真实边缘计算设备上进行实机测试，关注推理时延，从而进一步优化模型；</w:t>
      </w:r>
    </w:p>
    <w:p w14:paraId="7A37F4EF">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c.开展跨场景迁移学习：在多个仿真场景上训练，验证模型的泛化能力；</w:t>
      </w:r>
    </w:p>
    <w:p w14:paraId="38765395">
      <w:pPr>
        <w:ind w:firstLine="560" w:firstLineChars="200"/>
        <w:rPr>
          <w:rFonts w:hint="default"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d.融合地理物理先验：添加OpenStreetMap建筑物轮廓与DEM高程图作为先验输入，帮助约束电磁场突变边界。</w:t>
      </w:r>
    </w:p>
    <w:p w14:paraId="5AAB77CB">
      <w:pPr>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e.部署动态感知节点：从当前200个离散点提升至数千个(2000+)，消除集合覆盖盲区，从而显著改善多站协同感知率。</w:t>
      </w:r>
    </w:p>
    <w:p w14:paraId="7AB3F5B2">
      <w:pPr>
        <w:rPr>
          <w:rFonts w:hint="eastAsia" w:ascii="方正仿宋_GBK" w:hAnsi="方正仿宋_GBK" w:eastAsia="方正仿宋_GBK" w:cs="方正仿宋_GBK"/>
          <w:b w:val="0"/>
          <w:bCs w:val="0"/>
          <w:sz w:val="28"/>
          <w:szCs w:val="28"/>
          <w:lang w:val="en-US" w:eastAsia="zh-CN"/>
        </w:rPr>
      </w:pPr>
    </w:p>
    <w:p w14:paraId="1FF5CCEF">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参考文献</w:t>
      </w:r>
    </w:p>
    <w:p w14:paraId="0D50C393">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[1] A.Alkhateeb,</w:t>
      </w:r>
      <w:r>
        <w:rPr>
          <w:rFonts w:hint="default" w:ascii="黑体" w:hAnsi="黑体" w:eastAsia="黑体" w:cs="黑体"/>
          <w:b w:val="0"/>
          <w:bCs w:val="0"/>
          <w:sz w:val="24"/>
          <w:szCs w:val="24"/>
          <w:lang w:val="en-US" w:eastAsia="zh-CN"/>
        </w:rPr>
        <w:t>“</w:t>
      </w:r>
      <w:r>
        <w:rPr>
          <w:rFonts w:hint="eastAsia" w:ascii="黑体" w:hAnsi="黑体" w:eastAsia="黑体" w:cs="黑体"/>
          <w:b w:val="0"/>
          <w:bCs w:val="0"/>
          <w:sz w:val="24"/>
          <w:szCs w:val="24"/>
          <w:lang w:val="en-US" w:eastAsia="zh-CN"/>
        </w:rPr>
        <w:t>DeepMIMO:A Generic Deep Learning Dataset for Millimeter Wave and Massive MIMO Applications</w:t>
      </w:r>
      <w:r>
        <w:rPr>
          <w:rFonts w:hint="default" w:ascii="黑体" w:hAnsi="黑体" w:eastAsia="黑体" w:cs="黑体"/>
          <w:b w:val="0"/>
          <w:bCs w:val="0"/>
          <w:sz w:val="24"/>
          <w:szCs w:val="24"/>
          <w:lang w:val="en-US" w:eastAsia="zh-CN"/>
        </w:rPr>
        <w:t>”</w:t>
      </w:r>
      <w:r>
        <w:rPr>
          <w:rFonts w:hint="eastAsia" w:ascii="黑体" w:hAnsi="黑体" w:eastAsia="黑体" w:cs="黑体"/>
          <w:b w:val="0"/>
          <w:bCs w:val="0"/>
          <w:sz w:val="24"/>
          <w:szCs w:val="24"/>
          <w:lang w:val="en-US" w:eastAsia="zh-CN"/>
        </w:rPr>
        <w:t>, arXiv preprint arXiv:1902.06435, 2019</w:t>
      </w:r>
    </w:p>
    <w:p w14:paraId="2543A55A">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 xml:space="preserve">[2] H.T.Friis, </w:t>
      </w:r>
      <w:r>
        <w:rPr>
          <w:rFonts w:hint="default" w:ascii="黑体" w:hAnsi="黑体" w:eastAsia="黑体" w:cs="黑体"/>
          <w:b w:val="0"/>
          <w:bCs w:val="0"/>
          <w:sz w:val="24"/>
          <w:szCs w:val="24"/>
          <w:lang w:val="en-US" w:eastAsia="zh-CN"/>
        </w:rPr>
        <w:t>“</w:t>
      </w:r>
      <w:r>
        <w:rPr>
          <w:rFonts w:hint="eastAsia" w:ascii="黑体" w:hAnsi="黑体" w:eastAsia="黑体" w:cs="黑体"/>
          <w:b w:val="0"/>
          <w:bCs w:val="0"/>
          <w:sz w:val="24"/>
          <w:szCs w:val="24"/>
          <w:lang w:val="en-US" w:eastAsia="zh-CN"/>
        </w:rPr>
        <w:t>A note on a simple transmission formula,</w:t>
      </w:r>
      <w:r>
        <w:rPr>
          <w:rFonts w:hint="default" w:ascii="黑体" w:hAnsi="黑体" w:eastAsia="黑体" w:cs="黑体"/>
          <w:b w:val="0"/>
          <w:bCs w:val="0"/>
          <w:sz w:val="24"/>
          <w:szCs w:val="24"/>
          <w:lang w:val="en-US" w:eastAsia="zh-CN"/>
        </w:rPr>
        <w:t>”</w:t>
      </w:r>
      <w:r>
        <w:rPr>
          <w:rFonts w:hint="eastAsia" w:ascii="黑体" w:hAnsi="黑体" w:eastAsia="黑体" w:cs="黑体"/>
          <w:b w:val="0"/>
          <w:bCs w:val="0"/>
          <w:sz w:val="24"/>
          <w:szCs w:val="24"/>
          <w:lang w:val="en-US" w:eastAsia="zh-CN"/>
        </w:rPr>
        <w:t xml:space="preserve"> Proc.IRE, vol.34, no.5 ,pp. 254-256, May 1946.</w:t>
      </w:r>
    </w:p>
    <w:p w14:paraId="5332DE74">
      <w:pPr>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 xml:space="preserve">[3] ITU-R, </w:t>
      </w:r>
      <w:r>
        <w:rPr>
          <w:rFonts w:hint="default" w:ascii="黑体" w:hAnsi="黑体" w:eastAsia="黑体" w:cs="黑体"/>
          <w:b w:val="0"/>
          <w:bCs w:val="0"/>
          <w:sz w:val="24"/>
          <w:szCs w:val="24"/>
          <w:lang w:val="en-US" w:eastAsia="zh-CN"/>
        </w:rPr>
        <w:t>“</w:t>
      </w:r>
      <w:r>
        <w:rPr>
          <w:rFonts w:hint="eastAsia" w:ascii="黑体" w:hAnsi="黑体" w:eastAsia="黑体" w:cs="黑体"/>
          <w:b w:val="0"/>
          <w:bCs w:val="0"/>
          <w:sz w:val="24"/>
          <w:szCs w:val="24"/>
          <w:lang w:val="en-US" w:eastAsia="zh-CN"/>
        </w:rPr>
        <w:t>Specific Attenuation Model for Rain for Use in Prediction Methods,</w:t>
      </w:r>
      <w:r>
        <w:rPr>
          <w:rFonts w:hint="default" w:ascii="黑体" w:hAnsi="黑体" w:eastAsia="黑体" w:cs="黑体"/>
          <w:b w:val="0"/>
          <w:bCs w:val="0"/>
          <w:sz w:val="24"/>
          <w:szCs w:val="24"/>
          <w:lang w:val="en-US" w:eastAsia="zh-CN"/>
        </w:rPr>
        <w:t>”</w:t>
      </w:r>
      <w:r>
        <w:rPr>
          <w:rFonts w:hint="eastAsia" w:ascii="黑体" w:hAnsi="黑体" w:eastAsia="黑体" w:cs="黑体"/>
          <w:b w:val="0"/>
          <w:bCs w:val="0"/>
          <w:sz w:val="24"/>
          <w:szCs w:val="24"/>
          <w:lang w:val="en-US" w:eastAsia="zh-CN"/>
        </w:rPr>
        <w:t xml:space="preserve"> Recommendation ITU-R P.838-3, 2005</w:t>
      </w:r>
    </w:p>
    <w:p w14:paraId="1ED5391D">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 R.Levie,C.Yapar,G.Kutyniok,and G.Caire,“Dataset of pathloss and ToA radio maps with localization application,</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arXiv preprint arXiv:2212.11777,2022</w:t>
      </w:r>
    </w:p>
    <w:p w14:paraId="2E705518">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[5] R.Levie,C.Yapar,G.Kutyniok,and G.Caire,“RadioUNet: Fast Radio Map Estimation With Convolutional Neural Networks,</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IEEE Transactions on Wireless Communications,2021.</w:t>
      </w:r>
    </w:p>
    <w:p w14:paraId="0B459126">
      <w:pPr>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[6] S.Roger,et al.,“Deep-Learning-Based Radio Map Reconstruction for V2X Communications,”IEEE Transactions on Vehicular Technology,vol.69,no.4,pp.3862-3874,April 2020.</w:t>
      </w:r>
    </w:p>
    <w:p w14:paraId="493BAC05">
      <w:pPr>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[7] RFC 3561,“Ad hoc On-Demand Distance Vector（AODV）Routing,</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IETF Networking Group,2003</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E9931B8-75A3-4BEA-8145-BD490472BB07}"/>
  </w:font>
  <w:font w:name="黑体">
    <w:panose1 w:val="02010609060101010101"/>
    <w:charset w:val="86"/>
    <w:family w:val="auto"/>
    <w:pitch w:val="default"/>
    <w:sig w:usb0="800002BF" w:usb1="38CF7CFA" w:usb2="00000016" w:usb3="00000000" w:csb0="00040001" w:csb1="00000000"/>
    <w:embedRegular r:id="rId2" w:fontKey="{2047998B-1D52-433A-8E50-493B14FD721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74791553-6987-4BDF-8912-CF24C90F65B7}"/>
  </w:font>
  <w:font w:name="微软雅黑">
    <w:panose1 w:val="020B0503020204020204"/>
    <w:charset w:val="86"/>
    <w:family w:val="auto"/>
    <w:pitch w:val="default"/>
    <w:sig w:usb0="80000287" w:usb1="2ACF3C50" w:usb2="00000016" w:usb3="00000000" w:csb0="0004001F" w:csb1="00000000"/>
    <w:embedRegular r:id="rId4" w:fontKey="{C591E847-194A-4116-B66D-0F373B2E5FB4}"/>
  </w:font>
  <w:font w:name="楷体">
    <w:panose1 w:val="02010609060101010101"/>
    <w:charset w:val="86"/>
    <w:family w:val="auto"/>
    <w:pitch w:val="default"/>
    <w:sig w:usb0="800002BF" w:usb1="38CF7CFA" w:usb2="00000016" w:usb3="00000000" w:csb0="00040001" w:csb1="00000000"/>
    <w:embedRegular r:id="rId5" w:fontKey="{2162AF6F-BFF6-46ED-B047-C70650A05E27}"/>
  </w:font>
  <w:font w:name="等线">
    <w:panose1 w:val="02010600030101010101"/>
    <w:charset w:val="86"/>
    <w:family w:val="auto"/>
    <w:pitch w:val="default"/>
    <w:sig w:usb0="A00002BF" w:usb1="38CF7CFA" w:usb2="00000016" w:usb3="00000000" w:csb0="0004000F" w:csb1="00000000"/>
    <w:embedRegular r:id="rId6" w:fontKey="{BC4CD3D5-5338-4839-9564-7514891CBE87}"/>
  </w:font>
  <w:font w:name="方正仿宋_GBK">
    <w:panose1 w:val="02000000000000000000"/>
    <w:charset w:val="86"/>
    <w:family w:val="auto"/>
    <w:pitch w:val="default"/>
    <w:sig w:usb0="A00002BF" w:usb1="38CF7CFA" w:usb2="00082016" w:usb3="00000000" w:csb0="00040001" w:csb1="00000000"/>
    <w:embedRegular r:id="rId7" w:fontKey="{6A94D47A-018E-4234-BDC4-47DF167E025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9986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64801">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64801">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D3936"/>
    <w:rsid w:val="0E7D172D"/>
    <w:rsid w:val="1299771C"/>
    <w:rsid w:val="154D5148"/>
    <w:rsid w:val="1B043BA1"/>
    <w:rsid w:val="1C0F6CA1"/>
    <w:rsid w:val="1EE12B77"/>
    <w:rsid w:val="21163A4C"/>
    <w:rsid w:val="227C6712"/>
    <w:rsid w:val="23DF51AB"/>
    <w:rsid w:val="2D3B5B48"/>
    <w:rsid w:val="2E3662A3"/>
    <w:rsid w:val="31AC0DC2"/>
    <w:rsid w:val="32B36180"/>
    <w:rsid w:val="330864CC"/>
    <w:rsid w:val="398B750F"/>
    <w:rsid w:val="3EED47C8"/>
    <w:rsid w:val="3FA03D94"/>
    <w:rsid w:val="42FA74B4"/>
    <w:rsid w:val="461940F5"/>
    <w:rsid w:val="496D4E83"/>
    <w:rsid w:val="4B7D6ED4"/>
    <w:rsid w:val="4C073CE7"/>
    <w:rsid w:val="4D8D642D"/>
    <w:rsid w:val="4FF27E90"/>
    <w:rsid w:val="5F21609C"/>
    <w:rsid w:val="611D4E70"/>
    <w:rsid w:val="614B7400"/>
    <w:rsid w:val="62E96ED1"/>
    <w:rsid w:val="67256946"/>
    <w:rsid w:val="6BFF3DAB"/>
    <w:rsid w:val="6CD04C5E"/>
    <w:rsid w:val="6D5939A6"/>
    <w:rsid w:val="755F1275"/>
    <w:rsid w:val="76314FD5"/>
    <w:rsid w:val="76A2766B"/>
    <w:rsid w:val="7E572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widowControl/>
      <w:spacing w:before="180" w:after="180"/>
      <w:jc w:val="left"/>
    </w:pPr>
    <w:rPr>
      <w:kern w:val="0"/>
      <w:sz w:val="24"/>
      <w:lang w:eastAsia="en-US"/>
      <w14:ligatures w14:val="none"/>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semiHidden/>
    <w:unhideWhenUsed/>
    <w:qFormat/>
    <w:uiPriority w:val="99"/>
    <w:rPr>
      <w:rFonts w:ascii="Courier New" w:hAnsi="Courier New"/>
      <w:sz w:val="20"/>
    </w:rPr>
  </w:style>
  <w:style w:type="character" w:customStyle="1" w:styleId="11">
    <w:name w:val="页眉 字符"/>
    <w:basedOn w:val="9"/>
    <w:link w:val="5"/>
    <w:qFormat/>
    <w:uiPriority w:val="99"/>
    <w:rPr>
      <w:rFonts w:ascii="Times New Roman" w:hAnsi="Times New Roman" w:eastAsia="宋体" w:cs="Times New Roman"/>
      <w:sz w:val="18"/>
      <w:szCs w:val="18"/>
    </w:rPr>
  </w:style>
  <w:style w:type="character" w:customStyle="1" w:styleId="12">
    <w:name w:val="页脚 字符"/>
    <w:basedOn w:val="9"/>
    <w:link w:val="4"/>
    <w:qFormat/>
    <w:uiPriority w:val="99"/>
    <w:rPr>
      <w:rFonts w:ascii="Times New Roman" w:hAnsi="Times New Roman" w:eastAsia="宋体" w:cs="Times New Roman"/>
      <w:sz w:val="18"/>
      <w:szCs w:val="18"/>
    </w:rPr>
  </w:style>
  <w:style w:type="paragraph" w:customStyle="1" w:styleId="13">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04d84d9-7eb5-49e9-b4a2-34b6dab6211d}"/>
        <w:style w:val=""/>
        <w:category>
          <w:name w:val="常规"/>
          <w:gallery w:val="placeholder"/>
        </w:category>
        <w:types>
          <w:type w:val="bbPlcHdr"/>
        </w:types>
        <w:behaviors>
          <w:behavior w:val="content"/>
        </w:behaviors>
        <w:description w:val=""/>
        <w:guid w:val="{004d84d9-7eb5-49e9-b4a2-34b6dab6211d}"/>
      </w:docPartPr>
      <w:docPartBody>
        <w:p w14:paraId="3327B811">
          <w:r>
            <w:rPr>
              <w:color w:val="808080"/>
            </w:rPr>
            <w:t>单击此处输入文字。</w:t>
          </w:r>
        </w:p>
      </w:docPartBody>
    </w:docPart>
    <w:docPart>
      <w:docPartPr>
        <w:name w:val="{7b373e39-2b96-4f79-b92e-cbdfef2754ea}"/>
        <w:style w:val=""/>
        <w:category>
          <w:name w:val="常规"/>
          <w:gallery w:val="placeholder"/>
        </w:category>
        <w:types>
          <w:type w:val="bbPlcHdr"/>
        </w:types>
        <w:behaviors>
          <w:behavior w:val="content"/>
        </w:behaviors>
        <w:description w:val=""/>
        <w:guid w:val="{7b373e39-2b96-4f79-b92e-cbdfef2754ea}"/>
      </w:docPartPr>
      <w:docPartBody>
        <w:p w14:paraId="4E816EB7">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蓝色线条封面.docx"/>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2153</Words>
  <Characters>2798</Characters>
  <Lines>0</Lines>
  <Paragraphs>0</Paragraphs>
  <TotalTime>13</TotalTime>
  <ScaleCrop>false</ScaleCrop>
  <LinksUpToDate>false</LinksUpToDate>
  <CharactersWithSpaces>2877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2026-10-09T11:36:00Z</dcterms:created>
  <dc:creator>15284</dc:creator>
  <cp:lastModifiedBy>Vertias-7ups</cp:lastModifiedBy>
  <dcterms:modified xsi:type="dcterms:W3CDTF">2026-10-27T02:26:30Z</dcterms:modified>
  <dc:title>基于AI的低空无线环境认知与风险预测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eyJoZGlkIjoiNjZlNzUxNmFhMDM0YWVjOTljYTk0M2E4NTZlMTA3OTAiLCJ1c2VySWQiOiIxNDMzODE4Mjk0In0=</vt:lpwstr>
  </property>
  <property fmtid="{D5CDD505-2E9C-101B-9397-08002B2CF9AE}" pid="4" name="ICV">
    <vt:lpwstr>6746C79FDE4C447B8236C96CA692DE0C_12</vt:lpwstr>
  </property>
</Properties>
</file>