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6DFD" w14:textId="77777777" w:rsidR="001C343F" w:rsidRPr="00400024" w:rsidRDefault="001435AD" w:rsidP="00A57B17">
      <w:pPr>
        <w:pStyle w:val="Plattetekst"/>
        <w:rPr>
          <w:b/>
          <w:bCs/>
          <w:sz w:val="32"/>
          <w:szCs w:val="32"/>
          <w:lang w:val="nl-BE"/>
        </w:rPr>
      </w:pPr>
      <w:bookmarkStart w:id="0" w:name="kallibratie"/>
      <w:r w:rsidRPr="00400024">
        <w:rPr>
          <w:b/>
          <w:bCs/>
          <w:sz w:val="32"/>
          <w:szCs w:val="32"/>
          <w:lang w:val="nl-BE"/>
        </w:rPr>
        <w:t>Kallibratie</w:t>
      </w:r>
    </w:p>
    <w:p w14:paraId="022C7E52" w14:textId="77777777" w:rsidR="001C343F" w:rsidRPr="00400024" w:rsidRDefault="001435AD">
      <w:pPr>
        <w:pStyle w:val="FirstParagraph"/>
        <w:rPr>
          <w:lang w:val="nl-BE"/>
        </w:rPr>
      </w:pPr>
      <w:r w:rsidRPr="00400024">
        <w:rPr>
          <w:lang w:val="nl-BE"/>
        </w:rPr>
        <w:t xml:space="preserve">Om de kallibratie te kunnen uitvoeren zijn er vloeistoffen nodig met een gekende concentratie van de te meten nutriënten. We maken drie verschillende concentraties van deze stoffen om een </w:t>
      </w:r>
      <w:proofErr w:type="spellStart"/>
      <w:r w:rsidRPr="00400024">
        <w:rPr>
          <w:lang w:val="nl-BE"/>
        </w:rPr>
        <w:t>driepuntskalibratie</w:t>
      </w:r>
      <w:proofErr w:type="spellEnd"/>
      <w:r w:rsidRPr="00400024">
        <w:rPr>
          <w:lang w:val="nl-BE"/>
        </w:rPr>
        <w:t xml:space="preserve"> uit te voeren, dit geeft een nauwkeurige meting, waarop we ons verder kunnen baseren. Eerst maken we hiervoor enkele stockoplossingen die we vervolgens kunnen verdunnen om de gewenste kallibratievloeistoffen te bekomen.</w:t>
      </w:r>
    </w:p>
    <w:p w14:paraId="7FF6C98E" w14:textId="77777777" w:rsidR="001C343F" w:rsidRPr="00400024" w:rsidRDefault="001435AD">
      <w:pPr>
        <w:pStyle w:val="Plattetekst"/>
        <w:rPr>
          <w:lang w:val="nl-BE"/>
        </w:rPr>
      </w:pPr>
      <w:r w:rsidRPr="00400024">
        <w:rPr>
          <w:b/>
          <w:bCs/>
          <w:lang w:val="nl-BE"/>
        </w:rPr>
        <w:t>Stockoplossingen</w:t>
      </w:r>
    </w:p>
    <w:p w14:paraId="399F4E84" w14:textId="77777777" w:rsidR="001C343F" w:rsidRPr="00400024" w:rsidRDefault="001435AD">
      <w:pPr>
        <w:pStyle w:val="Plattetekst"/>
        <w:rPr>
          <w:lang w:val="nl-BE"/>
        </w:rPr>
      </w:pPr>
      <w:r w:rsidRPr="00400024">
        <w:rPr>
          <w:lang w:val="nl-BE"/>
        </w:rPr>
        <w:t>De stockoplossingen zijn versterkte concentraties van zoutoplossingen, we zullen deze stockoplossingen volgens de juiste verhouding verdunnen. De stockoplossingen bevatten elk een aantal gewenste ionen, deze ionen worden gemeten door de elektroden waardoor we met deze bekende concentraties de elektroden juist kunnen afstemmen voor latere metingen.</w:t>
      </w:r>
    </w:p>
    <w:p w14:paraId="2F93E729" w14:textId="77777777" w:rsidR="001C343F" w:rsidRDefault="001435AD">
      <w:pPr>
        <w:pStyle w:val="Plattetekst"/>
      </w:pPr>
      <w:proofErr w:type="spellStart"/>
      <w:r>
        <w:rPr>
          <w:i/>
          <w:iCs/>
        </w:rPr>
        <w:t>Gewenste</w:t>
      </w:r>
      <w:proofErr w:type="spellEnd"/>
      <w:r>
        <w:rPr>
          <w:i/>
          <w:iCs/>
        </w:rPr>
        <w:t xml:space="preserve"> </w:t>
      </w:r>
      <w:proofErr w:type="spellStart"/>
      <w:r>
        <w:rPr>
          <w:i/>
          <w:iCs/>
        </w:rPr>
        <w:t>stockoplossingen</w:t>
      </w:r>
      <w:proofErr w:type="spellEnd"/>
    </w:p>
    <w:tbl>
      <w:tblPr>
        <w:tblStyle w:val="Table"/>
        <w:tblW w:w="5000" w:type="pct"/>
        <w:tblLook w:val="0020" w:firstRow="1" w:lastRow="0" w:firstColumn="0" w:lastColumn="0" w:noHBand="0" w:noVBand="0"/>
      </w:tblPr>
      <w:tblGrid>
        <w:gridCol w:w="749"/>
        <w:gridCol w:w="1825"/>
        <w:gridCol w:w="1718"/>
        <w:gridCol w:w="2159"/>
        <w:gridCol w:w="1506"/>
        <w:gridCol w:w="1665"/>
      </w:tblGrid>
      <w:tr w:rsidR="001C343F" w14:paraId="3B733121" w14:textId="77777777" w:rsidTr="001C343F">
        <w:trPr>
          <w:cnfStyle w:val="100000000000" w:firstRow="1" w:lastRow="0" w:firstColumn="0" w:lastColumn="0" w:oddVBand="0" w:evenVBand="0" w:oddHBand="0" w:evenHBand="0" w:firstRowFirstColumn="0" w:firstRowLastColumn="0" w:lastRowFirstColumn="0" w:lastRowLastColumn="0"/>
          <w:tblHeader/>
        </w:trPr>
        <w:tc>
          <w:tcPr>
            <w:tcW w:w="0" w:type="auto"/>
          </w:tcPr>
          <w:p w14:paraId="5817D521" w14:textId="77777777" w:rsidR="001C343F" w:rsidRDefault="001435AD">
            <w:pPr>
              <w:pStyle w:val="Compact"/>
            </w:pPr>
            <w:r>
              <w:t>Ion</w:t>
            </w:r>
          </w:p>
        </w:tc>
        <w:tc>
          <w:tcPr>
            <w:tcW w:w="0" w:type="auto"/>
          </w:tcPr>
          <w:p w14:paraId="25582689" w14:textId="77777777" w:rsidR="001C343F" w:rsidRDefault="001435AD">
            <w:pPr>
              <w:pStyle w:val="Compact"/>
            </w:pPr>
            <w:r>
              <w:t>Kalibratie zout</w:t>
            </w:r>
          </w:p>
        </w:tc>
        <w:tc>
          <w:tcPr>
            <w:tcW w:w="0" w:type="auto"/>
          </w:tcPr>
          <w:p w14:paraId="41CB1D8D" w14:textId="77777777" w:rsidR="001C343F" w:rsidRDefault="001435AD">
            <w:pPr>
              <w:pStyle w:val="Compact"/>
            </w:pPr>
            <w:r>
              <w:t>Gewenste zout concentratie</w:t>
            </w:r>
          </w:p>
        </w:tc>
        <w:tc>
          <w:tcPr>
            <w:tcW w:w="0" w:type="auto"/>
          </w:tcPr>
          <w:p w14:paraId="28398483" w14:textId="77777777" w:rsidR="001C343F" w:rsidRDefault="001435AD">
            <w:pPr>
              <w:pStyle w:val="Compact"/>
            </w:pPr>
            <w:r>
              <w:t>Gewenste Ionen concentratie stockoplossing</w:t>
            </w:r>
          </w:p>
        </w:tc>
        <w:tc>
          <w:tcPr>
            <w:tcW w:w="0" w:type="auto"/>
          </w:tcPr>
          <w:p w14:paraId="419D6AB5" w14:textId="77777777" w:rsidR="001C343F" w:rsidRPr="00400024" w:rsidRDefault="001435AD">
            <w:pPr>
              <w:pStyle w:val="Compact"/>
              <w:rPr>
                <w:lang w:val="nl-BE"/>
              </w:rPr>
            </w:pPr>
            <w:r w:rsidRPr="00400024">
              <w:rPr>
                <w:lang w:val="nl-BE"/>
              </w:rPr>
              <w:t>Totaal volume van de oplossing</w:t>
            </w:r>
          </w:p>
        </w:tc>
        <w:tc>
          <w:tcPr>
            <w:tcW w:w="0" w:type="auto"/>
          </w:tcPr>
          <w:p w14:paraId="4F1388C8" w14:textId="77777777" w:rsidR="001C343F" w:rsidRDefault="001435AD">
            <w:pPr>
              <w:pStyle w:val="Compact"/>
            </w:pPr>
            <w:r>
              <w:t xml:space="preserve">Absolute </w:t>
            </w:r>
            <w:proofErr w:type="spellStart"/>
            <w:r>
              <w:t>hoeveelheid</w:t>
            </w:r>
            <w:proofErr w:type="spellEnd"/>
            <w:r>
              <w:t xml:space="preserve"> </w:t>
            </w:r>
            <w:proofErr w:type="spellStart"/>
            <w:r>
              <w:t>zout</w:t>
            </w:r>
            <w:proofErr w:type="spellEnd"/>
          </w:p>
        </w:tc>
      </w:tr>
      <w:tr w:rsidR="001C343F" w14:paraId="3949BB70" w14:textId="77777777">
        <w:tc>
          <w:tcPr>
            <w:tcW w:w="0" w:type="auto"/>
          </w:tcPr>
          <w:p w14:paraId="4D309BF9" w14:textId="77777777" w:rsidR="001C343F" w:rsidRDefault="001C343F">
            <w:pPr>
              <w:pStyle w:val="Compact"/>
            </w:pPr>
          </w:p>
        </w:tc>
        <w:tc>
          <w:tcPr>
            <w:tcW w:w="0" w:type="auto"/>
          </w:tcPr>
          <w:p w14:paraId="5CDC8941" w14:textId="77777777" w:rsidR="001C343F" w:rsidRDefault="001C343F">
            <w:pPr>
              <w:pStyle w:val="Compact"/>
            </w:pPr>
          </w:p>
        </w:tc>
        <w:tc>
          <w:tcPr>
            <w:tcW w:w="0" w:type="auto"/>
          </w:tcPr>
          <w:p w14:paraId="138A6EBD" w14:textId="77777777" w:rsidR="001C343F" w:rsidRDefault="001435AD">
            <w:pPr>
              <w:pStyle w:val="Compact"/>
            </w:pPr>
            <w:r>
              <w:t>[g/l]</w:t>
            </w:r>
          </w:p>
        </w:tc>
        <w:tc>
          <w:tcPr>
            <w:tcW w:w="0" w:type="auto"/>
          </w:tcPr>
          <w:p w14:paraId="40C70042" w14:textId="77777777" w:rsidR="001C343F" w:rsidRDefault="001435AD">
            <w:pPr>
              <w:pStyle w:val="Compact"/>
            </w:pPr>
            <w:r>
              <w:t>[g/l]</w:t>
            </w:r>
          </w:p>
        </w:tc>
        <w:tc>
          <w:tcPr>
            <w:tcW w:w="0" w:type="auto"/>
          </w:tcPr>
          <w:p w14:paraId="2D61B546" w14:textId="77777777" w:rsidR="001C343F" w:rsidRDefault="001435AD">
            <w:pPr>
              <w:pStyle w:val="Compact"/>
            </w:pPr>
            <w:r>
              <w:t>[ml]</w:t>
            </w:r>
          </w:p>
        </w:tc>
        <w:tc>
          <w:tcPr>
            <w:tcW w:w="0" w:type="auto"/>
          </w:tcPr>
          <w:p w14:paraId="18741B58" w14:textId="77777777" w:rsidR="001C343F" w:rsidRDefault="001435AD">
            <w:pPr>
              <w:pStyle w:val="Compact"/>
            </w:pPr>
            <w:r>
              <w:t>[g]</w:t>
            </w:r>
          </w:p>
        </w:tc>
      </w:tr>
      <w:tr w:rsidR="001C343F" w14:paraId="63AC776B" w14:textId="77777777">
        <w:tc>
          <w:tcPr>
            <w:tcW w:w="0" w:type="auto"/>
          </w:tcPr>
          <w:p w14:paraId="5CA88191" w14:textId="77777777" w:rsidR="001C343F" w:rsidRDefault="001435AD">
            <w:pPr>
              <w:pStyle w:val="Compact"/>
            </w:pPr>
            <w:r>
              <w:t>NO3-</w:t>
            </w:r>
          </w:p>
        </w:tc>
        <w:tc>
          <w:tcPr>
            <w:tcW w:w="0" w:type="auto"/>
          </w:tcPr>
          <w:p w14:paraId="477F7543" w14:textId="77777777" w:rsidR="001C343F" w:rsidRDefault="001435AD">
            <w:pPr>
              <w:pStyle w:val="Compact"/>
            </w:pPr>
            <w:r>
              <w:t>NaNO3</w:t>
            </w:r>
          </w:p>
        </w:tc>
        <w:tc>
          <w:tcPr>
            <w:tcW w:w="0" w:type="auto"/>
          </w:tcPr>
          <w:p w14:paraId="7FC26028" w14:textId="77777777" w:rsidR="001C343F" w:rsidRDefault="001435AD">
            <w:pPr>
              <w:pStyle w:val="Compact"/>
            </w:pPr>
            <w:r>
              <w:t>21,9300</w:t>
            </w:r>
          </w:p>
        </w:tc>
        <w:tc>
          <w:tcPr>
            <w:tcW w:w="0" w:type="auto"/>
          </w:tcPr>
          <w:p w14:paraId="5EEFD00C" w14:textId="77777777" w:rsidR="001C343F" w:rsidRDefault="001435AD">
            <w:pPr>
              <w:pStyle w:val="Compact"/>
            </w:pPr>
            <w:r>
              <w:t>16</w:t>
            </w:r>
          </w:p>
        </w:tc>
        <w:tc>
          <w:tcPr>
            <w:tcW w:w="0" w:type="auto"/>
          </w:tcPr>
          <w:p w14:paraId="310D3D65" w14:textId="77777777" w:rsidR="001C343F" w:rsidRDefault="001435AD">
            <w:pPr>
              <w:pStyle w:val="Compact"/>
            </w:pPr>
            <w:r>
              <w:t>100</w:t>
            </w:r>
          </w:p>
        </w:tc>
        <w:tc>
          <w:tcPr>
            <w:tcW w:w="0" w:type="auto"/>
          </w:tcPr>
          <w:p w14:paraId="63F907C8" w14:textId="77777777" w:rsidR="001C343F" w:rsidRDefault="001435AD">
            <w:pPr>
              <w:pStyle w:val="Compact"/>
            </w:pPr>
            <w:r>
              <w:t>2,1930</w:t>
            </w:r>
          </w:p>
        </w:tc>
      </w:tr>
      <w:tr w:rsidR="001C343F" w14:paraId="419DC138" w14:textId="77777777">
        <w:tc>
          <w:tcPr>
            <w:tcW w:w="0" w:type="auto"/>
          </w:tcPr>
          <w:p w14:paraId="6A6E360F" w14:textId="77777777" w:rsidR="001C343F" w:rsidRDefault="001435AD">
            <w:pPr>
              <w:pStyle w:val="Compact"/>
            </w:pPr>
            <w:r>
              <w:t>Ca2+</w:t>
            </w:r>
          </w:p>
        </w:tc>
        <w:tc>
          <w:tcPr>
            <w:tcW w:w="0" w:type="auto"/>
          </w:tcPr>
          <w:p w14:paraId="211CD6C3" w14:textId="77777777" w:rsidR="001C343F" w:rsidRDefault="001435AD">
            <w:pPr>
              <w:pStyle w:val="Compact"/>
            </w:pPr>
            <w:r>
              <w:t>Ca(NO3)24H2O</w:t>
            </w:r>
          </w:p>
        </w:tc>
        <w:tc>
          <w:tcPr>
            <w:tcW w:w="0" w:type="auto"/>
          </w:tcPr>
          <w:p w14:paraId="6A67AD3C" w14:textId="77777777" w:rsidR="001C343F" w:rsidRDefault="001435AD">
            <w:pPr>
              <w:pStyle w:val="Compact"/>
            </w:pPr>
            <w:r>
              <w:t>11,7845</w:t>
            </w:r>
          </w:p>
        </w:tc>
        <w:tc>
          <w:tcPr>
            <w:tcW w:w="0" w:type="auto"/>
          </w:tcPr>
          <w:p w14:paraId="266DD20E" w14:textId="77777777" w:rsidR="001C343F" w:rsidRDefault="001435AD">
            <w:pPr>
              <w:pStyle w:val="Compact"/>
            </w:pPr>
            <w:r>
              <w:t>2</w:t>
            </w:r>
          </w:p>
        </w:tc>
        <w:tc>
          <w:tcPr>
            <w:tcW w:w="0" w:type="auto"/>
          </w:tcPr>
          <w:p w14:paraId="5E203535" w14:textId="77777777" w:rsidR="001C343F" w:rsidRDefault="001435AD">
            <w:pPr>
              <w:pStyle w:val="Compact"/>
            </w:pPr>
            <w:r>
              <w:t>100</w:t>
            </w:r>
          </w:p>
        </w:tc>
        <w:tc>
          <w:tcPr>
            <w:tcW w:w="0" w:type="auto"/>
          </w:tcPr>
          <w:p w14:paraId="14A60F18" w14:textId="77777777" w:rsidR="001C343F" w:rsidRDefault="001435AD">
            <w:pPr>
              <w:pStyle w:val="Compact"/>
            </w:pPr>
            <w:r>
              <w:t>1,1785</w:t>
            </w:r>
          </w:p>
        </w:tc>
      </w:tr>
      <w:tr w:rsidR="001C343F" w14:paraId="6F88876E" w14:textId="77777777">
        <w:tc>
          <w:tcPr>
            <w:tcW w:w="0" w:type="auto"/>
          </w:tcPr>
          <w:p w14:paraId="5C0A4F58" w14:textId="77777777" w:rsidR="001C343F" w:rsidRDefault="001435AD">
            <w:pPr>
              <w:pStyle w:val="Compact"/>
            </w:pPr>
            <w:r>
              <w:t>K+</w:t>
            </w:r>
          </w:p>
        </w:tc>
        <w:tc>
          <w:tcPr>
            <w:tcW w:w="0" w:type="auto"/>
          </w:tcPr>
          <w:p w14:paraId="1292C02F" w14:textId="77777777" w:rsidR="001C343F" w:rsidRDefault="001435AD">
            <w:pPr>
              <w:pStyle w:val="Compact"/>
            </w:pPr>
            <w:r>
              <w:t>KOH</w:t>
            </w:r>
          </w:p>
        </w:tc>
        <w:tc>
          <w:tcPr>
            <w:tcW w:w="0" w:type="auto"/>
          </w:tcPr>
          <w:p w14:paraId="22E37D0E" w14:textId="77777777" w:rsidR="001C343F" w:rsidRDefault="001435AD">
            <w:pPr>
              <w:pStyle w:val="Compact"/>
            </w:pPr>
            <w:r>
              <w:t>2,8699</w:t>
            </w:r>
          </w:p>
        </w:tc>
        <w:tc>
          <w:tcPr>
            <w:tcW w:w="0" w:type="auto"/>
          </w:tcPr>
          <w:p w14:paraId="0C413B7C" w14:textId="77777777" w:rsidR="001C343F" w:rsidRDefault="001435AD">
            <w:pPr>
              <w:pStyle w:val="Compact"/>
            </w:pPr>
            <w:r>
              <w:t>2</w:t>
            </w:r>
          </w:p>
        </w:tc>
        <w:tc>
          <w:tcPr>
            <w:tcW w:w="0" w:type="auto"/>
          </w:tcPr>
          <w:p w14:paraId="3D93BCC5" w14:textId="77777777" w:rsidR="001C343F" w:rsidRDefault="001435AD">
            <w:pPr>
              <w:pStyle w:val="Compact"/>
            </w:pPr>
            <w:r>
              <w:t>200</w:t>
            </w:r>
          </w:p>
        </w:tc>
        <w:tc>
          <w:tcPr>
            <w:tcW w:w="0" w:type="auto"/>
          </w:tcPr>
          <w:p w14:paraId="67BD984C" w14:textId="77777777" w:rsidR="001C343F" w:rsidRDefault="001435AD">
            <w:pPr>
              <w:pStyle w:val="Compact"/>
            </w:pPr>
            <w:r>
              <w:t>0,5740</w:t>
            </w:r>
          </w:p>
        </w:tc>
      </w:tr>
    </w:tbl>
    <w:p w14:paraId="63C06F69" w14:textId="77777777" w:rsidR="001C343F" w:rsidRPr="00400024" w:rsidRDefault="001435AD">
      <w:pPr>
        <w:pStyle w:val="Plattetekst"/>
        <w:rPr>
          <w:lang w:val="nl-BE"/>
        </w:rPr>
      </w:pPr>
      <w:r w:rsidRPr="00400024">
        <w:rPr>
          <w:lang w:val="nl-BE"/>
        </w:rPr>
        <w:t>Omdat deze hoeveelheden in de praktijk te nauwkeurig zijn om exact af te meten, berekenen we de werkelijke ionenconcentratie na bereiding. De keuze van de stockoplossingen is gebeurd op basis van de beschikbaarheid van de aanwezige zouten en praktische overwegingen ten opzichte van de bereiding van de stockoplossingen. We maakten van elke stockoplossing 100 – 200 ml. Dit is een goede hoeveelheid voor een voldoende nauwkeurigheid en geeft ons voldoende stockoplossing voor alle kallibratievloeistoffen.</w:t>
      </w:r>
    </w:p>
    <w:p w14:paraId="687EF113" w14:textId="77777777" w:rsidR="001C343F" w:rsidRDefault="001435AD">
      <w:pPr>
        <w:pStyle w:val="Plattetekst"/>
      </w:pPr>
      <w:proofErr w:type="spellStart"/>
      <w:r>
        <w:rPr>
          <w:i/>
          <w:iCs/>
        </w:rPr>
        <w:t>Eigenlijke</w:t>
      </w:r>
      <w:proofErr w:type="spellEnd"/>
      <w:r>
        <w:rPr>
          <w:i/>
          <w:iCs/>
        </w:rPr>
        <w:t xml:space="preserve"> </w:t>
      </w:r>
      <w:proofErr w:type="spellStart"/>
      <w:r>
        <w:rPr>
          <w:i/>
          <w:iCs/>
        </w:rPr>
        <w:t>stockoplossingen</w:t>
      </w:r>
      <w:proofErr w:type="spellEnd"/>
    </w:p>
    <w:tbl>
      <w:tblPr>
        <w:tblStyle w:val="Table"/>
        <w:tblW w:w="5000" w:type="pct"/>
        <w:tblLook w:val="0020" w:firstRow="1" w:lastRow="0" w:firstColumn="0" w:lastColumn="0" w:noHBand="0" w:noVBand="0"/>
      </w:tblPr>
      <w:tblGrid>
        <w:gridCol w:w="749"/>
        <w:gridCol w:w="1825"/>
        <w:gridCol w:w="1063"/>
        <w:gridCol w:w="1226"/>
        <w:gridCol w:w="1483"/>
        <w:gridCol w:w="1510"/>
        <w:gridCol w:w="1766"/>
      </w:tblGrid>
      <w:tr w:rsidR="001C343F" w14:paraId="053CDD14" w14:textId="77777777" w:rsidTr="001C343F">
        <w:trPr>
          <w:cnfStyle w:val="100000000000" w:firstRow="1" w:lastRow="0" w:firstColumn="0" w:lastColumn="0" w:oddVBand="0" w:evenVBand="0" w:oddHBand="0" w:evenHBand="0" w:firstRowFirstColumn="0" w:firstRowLastColumn="0" w:lastRowFirstColumn="0" w:lastRowLastColumn="0"/>
          <w:tblHeader/>
        </w:trPr>
        <w:tc>
          <w:tcPr>
            <w:tcW w:w="0" w:type="auto"/>
          </w:tcPr>
          <w:p w14:paraId="68F34F40" w14:textId="77777777" w:rsidR="001C343F" w:rsidRDefault="001435AD">
            <w:pPr>
              <w:pStyle w:val="Compact"/>
            </w:pPr>
            <w:r>
              <w:t>Ion</w:t>
            </w:r>
          </w:p>
        </w:tc>
        <w:tc>
          <w:tcPr>
            <w:tcW w:w="0" w:type="auto"/>
          </w:tcPr>
          <w:p w14:paraId="593432EC" w14:textId="77777777" w:rsidR="001C343F" w:rsidRDefault="001435AD">
            <w:pPr>
              <w:pStyle w:val="Compact"/>
            </w:pPr>
            <w:r>
              <w:t>Kalibratie zout</w:t>
            </w:r>
          </w:p>
        </w:tc>
        <w:tc>
          <w:tcPr>
            <w:tcW w:w="0" w:type="auto"/>
          </w:tcPr>
          <w:p w14:paraId="42927E6C" w14:textId="77777777" w:rsidR="001C343F" w:rsidRDefault="001435AD">
            <w:pPr>
              <w:pStyle w:val="Compact"/>
            </w:pPr>
            <w:r>
              <w:t>MM</w:t>
            </w:r>
          </w:p>
        </w:tc>
        <w:tc>
          <w:tcPr>
            <w:tcW w:w="0" w:type="auto"/>
          </w:tcPr>
          <w:p w14:paraId="0908C44A" w14:textId="77777777" w:rsidR="001C343F" w:rsidRPr="00400024" w:rsidRDefault="001435AD">
            <w:pPr>
              <w:pStyle w:val="Compact"/>
              <w:rPr>
                <w:lang w:val="nl-BE"/>
              </w:rPr>
            </w:pPr>
            <w:r w:rsidRPr="00400024">
              <w:rPr>
                <w:lang w:val="nl-BE"/>
              </w:rPr>
              <w:t>Totaal volume van de oplossing</w:t>
            </w:r>
          </w:p>
        </w:tc>
        <w:tc>
          <w:tcPr>
            <w:tcW w:w="0" w:type="auto"/>
          </w:tcPr>
          <w:p w14:paraId="305EF033" w14:textId="77777777" w:rsidR="001C343F" w:rsidRDefault="001435AD">
            <w:pPr>
              <w:pStyle w:val="Compact"/>
            </w:pPr>
            <w:r>
              <w:t xml:space="preserve">Absolute </w:t>
            </w:r>
            <w:proofErr w:type="spellStart"/>
            <w:r>
              <w:t>hoeveelheid</w:t>
            </w:r>
            <w:proofErr w:type="spellEnd"/>
            <w:r>
              <w:t xml:space="preserve"> </w:t>
            </w:r>
            <w:proofErr w:type="spellStart"/>
            <w:r>
              <w:t>zout</w:t>
            </w:r>
            <w:proofErr w:type="spellEnd"/>
          </w:p>
        </w:tc>
        <w:tc>
          <w:tcPr>
            <w:tcW w:w="0" w:type="auto"/>
          </w:tcPr>
          <w:p w14:paraId="45319989" w14:textId="77777777" w:rsidR="001C343F" w:rsidRDefault="001435AD">
            <w:pPr>
              <w:pStyle w:val="Compact"/>
            </w:pPr>
            <w:r>
              <w:t>Zout concentratie</w:t>
            </w:r>
          </w:p>
        </w:tc>
        <w:tc>
          <w:tcPr>
            <w:tcW w:w="0" w:type="auto"/>
          </w:tcPr>
          <w:p w14:paraId="1ADC01C7" w14:textId="77777777" w:rsidR="001C343F" w:rsidRDefault="001435AD">
            <w:pPr>
              <w:pStyle w:val="Compact"/>
            </w:pPr>
            <w:r>
              <w:t>Ionen concentratie stockoplossing</w:t>
            </w:r>
          </w:p>
        </w:tc>
      </w:tr>
      <w:tr w:rsidR="001C343F" w14:paraId="0E9461B0" w14:textId="77777777">
        <w:tc>
          <w:tcPr>
            <w:tcW w:w="0" w:type="auto"/>
          </w:tcPr>
          <w:p w14:paraId="0AF9FB12" w14:textId="77777777" w:rsidR="001C343F" w:rsidRDefault="001C343F">
            <w:pPr>
              <w:pStyle w:val="Compact"/>
            </w:pPr>
          </w:p>
        </w:tc>
        <w:tc>
          <w:tcPr>
            <w:tcW w:w="0" w:type="auto"/>
          </w:tcPr>
          <w:p w14:paraId="33219ADC" w14:textId="77777777" w:rsidR="001C343F" w:rsidRDefault="001C343F">
            <w:pPr>
              <w:pStyle w:val="Compact"/>
            </w:pPr>
          </w:p>
        </w:tc>
        <w:tc>
          <w:tcPr>
            <w:tcW w:w="0" w:type="auto"/>
          </w:tcPr>
          <w:p w14:paraId="2B3EC20A" w14:textId="77777777" w:rsidR="001C343F" w:rsidRDefault="001435AD">
            <w:pPr>
              <w:pStyle w:val="Compact"/>
            </w:pPr>
            <w:r>
              <w:t>[g/mol]</w:t>
            </w:r>
          </w:p>
        </w:tc>
        <w:tc>
          <w:tcPr>
            <w:tcW w:w="0" w:type="auto"/>
          </w:tcPr>
          <w:p w14:paraId="21A6C47D" w14:textId="77777777" w:rsidR="001C343F" w:rsidRDefault="001435AD">
            <w:pPr>
              <w:pStyle w:val="Compact"/>
            </w:pPr>
            <w:r>
              <w:t>[ml]</w:t>
            </w:r>
          </w:p>
        </w:tc>
        <w:tc>
          <w:tcPr>
            <w:tcW w:w="0" w:type="auto"/>
          </w:tcPr>
          <w:p w14:paraId="15CCB47F" w14:textId="77777777" w:rsidR="001C343F" w:rsidRDefault="001435AD">
            <w:pPr>
              <w:pStyle w:val="Compact"/>
            </w:pPr>
            <w:r>
              <w:t>[g]</w:t>
            </w:r>
          </w:p>
        </w:tc>
        <w:tc>
          <w:tcPr>
            <w:tcW w:w="0" w:type="auto"/>
          </w:tcPr>
          <w:p w14:paraId="693531BE" w14:textId="77777777" w:rsidR="001C343F" w:rsidRDefault="001435AD">
            <w:pPr>
              <w:pStyle w:val="Compact"/>
            </w:pPr>
            <w:r>
              <w:t>[g/l]</w:t>
            </w:r>
          </w:p>
        </w:tc>
        <w:tc>
          <w:tcPr>
            <w:tcW w:w="0" w:type="auto"/>
          </w:tcPr>
          <w:p w14:paraId="38C23C69" w14:textId="77777777" w:rsidR="001C343F" w:rsidRDefault="001435AD">
            <w:pPr>
              <w:pStyle w:val="Compact"/>
            </w:pPr>
            <w:r>
              <w:t>[g/l]</w:t>
            </w:r>
          </w:p>
        </w:tc>
      </w:tr>
      <w:tr w:rsidR="001C343F" w14:paraId="35DE19AA" w14:textId="77777777">
        <w:tc>
          <w:tcPr>
            <w:tcW w:w="0" w:type="auto"/>
          </w:tcPr>
          <w:p w14:paraId="6D7452BC" w14:textId="77777777" w:rsidR="001C343F" w:rsidRDefault="001435AD">
            <w:pPr>
              <w:pStyle w:val="Compact"/>
            </w:pPr>
            <w:r>
              <w:t>NO3-</w:t>
            </w:r>
          </w:p>
        </w:tc>
        <w:tc>
          <w:tcPr>
            <w:tcW w:w="0" w:type="auto"/>
          </w:tcPr>
          <w:p w14:paraId="2296E02C" w14:textId="77777777" w:rsidR="001C343F" w:rsidRDefault="001435AD">
            <w:pPr>
              <w:pStyle w:val="Compact"/>
            </w:pPr>
            <w:r>
              <w:t>NaNO3</w:t>
            </w:r>
          </w:p>
        </w:tc>
        <w:tc>
          <w:tcPr>
            <w:tcW w:w="0" w:type="auto"/>
          </w:tcPr>
          <w:p w14:paraId="1122C4CA" w14:textId="77777777" w:rsidR="001C343F" w:rsidRDefault="001435AD">
            <w:pPr>
              <w:pStyle w:val="Compact"/>
            </w:pPr>
            <w:r>
              <w:t>84,9947</w:t>
            </w:r>
          </w:p>
        </w:tc>
        <w:tc>
          <w:tcPr>
            <w:tcW w:w="0" w:type="auto"/>
          </w:tcPr>
          <w:p w14:paraId="7DE433D3" w14:textId="77777777" w:rsidR="001C343F" w:rsidRDefault="001435AD">
            <w:pPr>
              <w:pStyle w:val="Compact"/>
            </w:pPr>
            <w:r>
              <w:t>100</w:t>
            </w:r>
          </w:p>
        </w:tc>
        <w:tc>
          <w:tcPr>
            <w:tcW w:w="0" w:type="auto"/>
          </w:tcPr>
          <w:p w14:paraId="36A51991" w14:textId="77777777" w:rsidR="001C343F" w:rsidRDefault="001435AD">
            <w:pPr>
              <w:pStyle w:val="Compact"/>
            </w:pPr>
            <w:r>
              <w:t>2,1900</w:t>
            </w:r>
          </w:p>
        </w:tc>
        <w:tc>
          <w:tcPr>
            <w:tcW w:w="0" w:type="auto"/>
          </w:tcPr>
          <w:p w14:paraId="76D2A983" w14:textId="77777777" w:rsidR="001C343F" w:rsidRDefault="001435AD">
            <w:pPr>
              <w:pStyle w:val="Compact"/>
            </w:pPr>
            <w:r>
              <w:t>21,900</w:t>
            </w:r>
          </w:p>
        </w:tc>
        <w:tc>
          <w:tcPr>
            <w:tcW w:w="0" w:type="auto"/>
          </w:tcPr>
          <w:p w14:paraId="0ABDFEA1" w14:textId="77777777" w:rsidR="001C343F" w:rsidRDefault="001435AD">
            <w:pPr>
              <w:pStyle w:val="Compact"/>
            </w:pPr>
            <w:r>
              <w:t>15,9800</w:t>
            </w:r>
          </w:p>
        </w:tc>
      </w:tr>
      <w:tr w:rsidR="001C343F" w14:paraId="430CE993" w14:textId="77777777">
        <w:tc>
          <w:tcPr>
            <w:tcW w:w="0" w:type="auto"/>
          </w:tcPr>
          <w:p w14:paraId="248B6AEC" w14:textId="77777777" w:rsidR="001C343F" w:rsidRDefault="001435AD">
            <w:pPr>
              <w:pStyle w:val="Compact"/>
            </w:pPr>
            <w:r>
              <w:t>Ca2+</w:t>
            </w:r>
          </w:p>
        </w:tc>
        <w:tc>
          <w:tcPr>
            <w:tcW w:w="0" w:type="auto"/>
          </w:tcPr>
          <w:p w14:paraId="1391A33F" w14:textId="77777777" w:rsidR="001C343F" w:rsidRDefault="001435AD">
            <w:pPr>
              <w:pStyle w:val="Compact"/>
            </w:pPr>
            <w:r>
              <w:t>Ca(NO3)24H2O</w:t>
            </w:r>
          </w:p>
        </w:tc>
        <w:tc>
          <w:tcPr>
            <w:tcW w:w="0" w:type="auto"/>
          </w:tcPr>
          <w:p w14:paraId="5530749D" w14:textId="77777777" w:rsidR="001C343F" w:rsidRDefault="001435AD">
            <w:pPr>
              <w:pStyle w:val="Compact"/>
            </w:pPr>
            <w:r>
              <w:t>40,0780</w:t>
            </w:r>
          </w:p>
        </w:tc>
        <w:tc>
          <w:tcPr>
            <w:tcW w:w="0" w:type="auto"/>
          </w:tcPr>
          <w:p w14:paraId="3EF684E0" w14:textId="77777777" w:rsidR="001C343F" w:rsidRDefault="001435AD">
            <w:pPr>
              <w:pStyle w:val="Compact"/>
            </w:pPr>
            <w:r>
              <w:t>100</w:t>
            </w:r>
          </w:p>
        </w:tc>
        <w:tc>
          <w:tcPr>
            <w:tcW w:w="0" w:type="auto"/>
          </w:tcPr>
          <w:p w14:paraId="1254570D" w14:textId="77777777" w:rsidR="001C343F" w:rsidRDefault="001435AD">
            <w:pPr>
              <w:pStyle w:val="Compact"/>
            </w:pPr>
            <w:r>
              <w:t>1,1786</w:t>
            </w:r>
          </w:p>
        </w:tc>
        <w:tc>
          <w:tcPr>
            <w:tcW w:w="0" w:type="auto"/>
          </w:tcPr>
          <w:p w14:paraId="489C40C0" w14:textId="77777777" w:rsidR="001C343F" w:rsidRDefault="001435AD">
            <w:pPr>
              <w:pStyle w:val="Compact"/>
            </w:pPr>
            <w:r>
              <w:t>11,786</w:t>
            </w:r>
          </w:p>
        </w:tc>
        <w:tc>
          <w:tcPr>
            <w:tcW w:w="0" w:type="auto"/>
          </w:tcPr>
          <w:p w14:paraId="2D6CD3FA" w14:textId="77777777" w:rsidR="001C343F" w:rsidRDefault="001435AD">
            <w:pPr>
              <w:pStyle w:val="Compact"/>
            </w:pPr>
            <w:r>
              <w:t>2,0000</w:t>
            </w:r>
          </w:p>
        </w:tc>
      </w:tr>
      <w:tr w:rsidR="001C343F" w14:paraId="36B15BB8" w14:textId="77777777">
        <w:tc>
          <w:tcPr>
            <w:tcW w:w="0" w:type="auto"/>
          </w:tcPr>
          <w:p w14:paraId="61697861" w14:textId="77777777" w:rsidR="001C343F" w:rsidRDefault="001435AD">
            <w:pPr>
              <w:pStyle w:val="Compact"/>
            </w:pPr>
            <w:r>
              <w:t>K+</w:t>
            </w:r>
          </w:p>
        </w:tc>
        <w:tc>
          <w:tcPr>
            <w:tcW w:w="0" w:type="auto"/>
          </w:tcPr>
          <w:p w14:paraId="263C021F" w14:textId="77777777" w:rsidR="001C343F" w:rsidRDefault="001435AD">
            <w:pPr>
              <w:pStyle w:val="Compact"/>
            </w:pPr>
            <w:r>
              <w:t>KOH</w:t>
            </w:r>
          </w:p>
        </w:tc>
        <w:tc>
          <w:tcPr>
            <w:tcW w:w="0" w:type="auto"/>
          </w:tcPr>
          <w:p w14:paraId="672A33C7" w14:textId="77777777" w:rsidR="001C343F" w:rsidRDefault="001435AD">
            <w:pPr>
              <w:pStyle w:val="Compact"/>
            </w:pPr>
            <w:r>
              <w:t>56,1100</w:t>
            </w:r>
          </w:p>
        </w:tc>
        <w:tc>
          <w:tcPr>
            <w:tcW w:w="0" w:type="auto"/>
          </w:tcPr>
          <w:p w14:paraId="5911554C" w14:textId="77777777" w:rsidR="001C343F" w:rsidRDefault="001435AD">
            <w:pPr>
              <w:pStyle w:val="Compact"/>
            </w:pPr>
            <w:r>
              <w:t>200</w:t>
            </w:r>
          </w:p>
        </w:tc>
        <w:tc>
          <w:tcPr>
            <w:tcW w:w="0" w:type="auto"/>
          </w:tcPr>
          <w:p w14:paraId="0902360E" w14:textId="77777777" w:rsidR="001C343F" w:rsidRDefault="001435AD">
            <w:pPr>
              <w:pStyle w:val="Compact"/>
            </w:pPr>
            <w:r>
              <w:t>0,5829</w:t>
            </w:r>
          </w:p>
        </w:tc>
        <w:tc>
          <w:tcPr>
            <w:tcW w:w="0" w:type="auto"/>
          </w:tcPr>
          <w:p w14:paraId="34E06AB6" w14:textId="77777777" w:rsidR="001C343F" w:rsidRDefault="001435AD">
            <w:pPr>
              <w:pStyle w:val="Compact"/>
            </w:pPr>
            <w:r>
              <w:t>2,9145</w:t>
            </w:r>
          </w:p>
        </w:tc>
        <w:tc>
          <w:tcPr>
            <w:tcW w:w="0" w:type="auto"/>
          </w:tcPr>
          <w:p w14:paraId="206AA7BA" w14:textId="77777777" w:rsidR="001C343F" w:rsidRDefault="001435AD">
            <w:pPr>
              <w:pStyle w:val="Compact"/>
            </w:pPr>
            <w:r>
              <w:t>2,0300</w:t>
            </w:r>
          </w:p>
        </w:tc>
      </w:tr>
    </w:tbl>
    <w:p w14:paraId="4D1870D1" w14:textId="77777777" w:rsidR="001C343F" w:rsidRDefault="001435AD">
      <w:pPr>
        <w:pStyle w:val="Plattetekst"/>
      </w:pPr>
      <w:r>
        <w:rPr>
          <w:b/>
          <w:bCs/>
        </w:rPr>
        <w:lastRenderedPageBreak/>
        <w:t>Kalibratievloeistoffen</w:t>
      </w:r>
    </w:p>
    <w:p w14:paraId="3DACED00" w14:textId="77777777" w:rsidR="001C343F" w:rsidRDefault="001435AD">
      <w:pPr>
        <w:pStyle w:val="Plattetekst"/>
      </w:pPr>
      <w:r w:rsidRPr="00400024">
        <w:rPr>
          <w:lang w:val="nl-BE"/>
        </w:rPr>
        <w:t xml:space="preserve">Voor de </w:t>
      </w:r>
      <w:proofErr w:type="spellStart"/>
      <w:r w:rsidRPr="00400024">
        <w:rPr>
          <w:lang w:val="nl-BE"/>
        </w:rPr>
        <w:t>driepuntsmeting</w:t>
      </w:r>
      <w:proofErr w:type="spellEnd"/>
      <w:r w:rsidRPr="00400024">
        <w:rPr>
          <w:lang w:val="nl-BE"/>
        </w:rPr>
        <w:t xml:space="preserve"> maken we drie verschillende concentraties van de stockoplossing; een lage, medium en hoge concentratie. We meten vervolgens voor deze drie concentraties de </w:t>
      </w:r>
      <w:proofErr w:type="spellStart"/>
      <w:r w:rsidRPr="00400024">
        <w:rPr>
          <w:lang w:val="nl-BE"/>
        </w:rPr>
        <w:t>probes</w:t>
      </w:r>
      <w:proofErr w:type="spellEnd"/>
      <w:r w:rsidRPr="00400024">
        <w:rPr>
          <w:lang w:val="nl-BE"/>
        </w:rPr>
        <w:t xml:space="preserve"> (=elektroden) uit, waarna we een lineaire benadering kunnen trekken door deze drie punten. Op deze rechte kunnen we vervolgens met goede precisie onze </w:t>
      </w:r>
      <w:proofErr w:type="spellStart"/>
      <w:r w:rsidRPr="00400024">
        <w:rPr>
          <w:lang w:val="nl-BE"/>
        </w:rPr>
        <w:t>probes</w:t>
      </w:r>
      <w:proofErr w:type="spellEnd"/>
      <w:r w:rsidRPr="00400024">
        <w:rPr>
          <w:lang w:val="nl-BE"/>
        </w:rPr>
        <w:t xml:space="preserve"> kalibreren. </w:t>
      </w:r>
      <w:proofErr w:type="spellStart"/>
      <w:r>
        <w:t>Dit</w:t>
      </w:r>
      <w:proofErr w:type="spellEnd"/>
      <w:r>
        <w:t xml:space="preserve"> is </w:t>
      </w:r>
      <w:proofErr w:type="spellStart"/>
      <w:r>
        <w:t>nauwkeuriger</w:t>
      </w:r>
      <w:proofErr w:type="spellEnd"/>
      <w:r>
        <w:t xml:space="preserve"> dan een kallibratie met 2 meetpunten.</w:t>
      </w:r>
    </w:p>
    <w:tbl>
      <w:tblPr>
        <w:tblStyle w:val="Table"/>
        <w:tblW w:w="0" w:type="auto"/>
        <w:tblLook w:val="0020" w:firstRow="1" w:lastRow="0" w:firstColumn="0" w:lastColumn="0" w:noHBand="0" w:noVBand="0"/>
      </w:tblPr>
      <w:tblGrid>
        <w:gridCol w:w="749"/>
        <w:gridCol w:w="886"/>
        <w:gridCol w:w="1061"/>
        <w:gridCol w:w="886"/>
      </w:tblGrid>
      <w:tr w:rsidR="001C343F" w14:paraId="16DF75F1" w14:textId="77777777" w:rsidTr="001C343F">
        <w:trPr>
          <w:cnfStyle w:val="100000000000" w:firstRow="1" w:lastRow="0" w:firstColumn="0" w:lastColumn="0" w:oddVBand="0" w:evenVBand="0" w:oddHBand="0" w:evenHBand="0" w:firstRowFirstColumn="0" w:firstRowLastColumn="0" w:lastRowFirstColumn="0" w:lastRowLastColumn="0"/>
          <w:tblHeader/>
        </w:trPr>
        <w:tc>
          <w:tcPr>
            <w:tcW w:w="0" w:type="auto"/>
          </w:tcPr>
          <w:p w14:paraId="2E0CE222" w14:textId="77777777" w:rsidR="001C343F" w:rsidRDefault="001C343F">
            <w:pPr>
              <w:pStyle w:val="Compact"/>
            </w:pPr>
          </w:p>
        </w:tc>
        <w:tc>
          <w:tcPr>
            <w:tcW w:w="0" w:type="auto"/>
          </w:tcPr>
          <w:p w14:paraId="3F4BF09E" w14:textId="77777777" w:rsidR="001C343F" w:rsidRDefault="001435AD">
            <w:pPr>
              <w:pStyle w:val="Compact"/>
            </w:pPr>
            <w:r>
              <w:t>Low</w:t>
            </w:r>
          </w:p>
        </w:tc>
        <w:tc>
          <w:tcPr>
            <w:tcW w:w="0" w:type="auto"/>
          </w:tcPr>
          <w:p w14:paraId="5F5AB510" w14:textId="77777777" w:rsidR="001C343F" w:rsidRDefault="001435AD">
            <w:pPr>
              <w:pStyle w:val="Compact"/>
            </w:pPr>
            <w:r>
              <w:t>Medium</w:t>
            </w:r>
          </w:p>
        </w:tc>
        <w:tc>
          <w:tcPr>
            <w:tcW w:w="0" w:type="auto"/>
          </w:tcPr>
          <w:p w14:paraId="35E11495" w14:textId="77777777" w:rsidR="001C343F" w:rsidRDefault="001435AD">
            <w:pPr>
              <w:pStyle w:val="Compact"/>
            </w:pPr>
            <w:r>
              <w:t>High</w:t>
            </w:r>
          </w:p>
        </w:tc>
      </w:tr>
      <w:tr w:rsidR="001C343F" w14:paraId="0DA95184" w14:textId="77777777">
        <w:tc>
          <w:tcPr>
            <w:tcW w:w="0" w:type="auto"/>
          </w:tcPr>
          <w:p w14:paraId="15BC61EA" w14:textId="77777777" w:rsidR="001C343F" w:rsidRDefault="001C343F">
            <w:pPr>
              <w:pStyle w:val="Compact"/>
            </w:pPr>
          </w:p>
        </w:tc>
        <w:tc>
          <w:tcPr>
            <w:tcW w:w="0" w:type="auto"/>
          </w:tcPr>
          <w:p w14:paraId="77050CCB" w14:textId="77777777" w:rsidR="001C343F" w:rsidRDefault="001435AD">
            <w:pPr>
              <w:pStyle w:val="Compact"/>
            </w:pPr>
            <w:r>
              <w:t>[mg/l]</w:t>
            </w:r>
          </w:p>
        </w:tc>
        <w:tc>
          <w:tcPr>
            <w:tcW w:w="0" w:type="auto"/>
          </w:tcPr>
          <w:p w14:paraId="17C8D031" w14:textId="77777777" w:rsidR="001C343F" w:rsidRDefault="001435AD">
            <w:pPr>
              <w:pStyle w:val="Compact"/>
            </w:pPr>
            <w:r>
              <w:t>[mg/l]</w:t>
            </w:r>
          </w:p>
        </w:tc>
        <w:tc>
          <w:tcPr>
            <w:tcW w:w="0" w:type="auto"/>
          </w:tcPr>
          <w:p w14:paraId="0DE7B8CD" w14:textId="77777777" w:rsidR="001C343F" w:rsidRDefault="001435AD">
            <w:pPr>
              <w:pStyle w:val="Compact"/>
            </w:pPr>
            <w:r>
              <w:t>[mg/l]</w:t>
            </w:r>
          </w:p>
        </w:tc>
      </w:tr>
      <w:tr w:rsidR="001C343F" w14:paraId="63707EE7" w14:textId="77777777">
        <w:tc>
          <w:tcPr>
            <w:tcW w:w="0" w:type="auto"/>
          </w:tcPr>
          <w:p w14:paraId="33A8DB8B" w14:textId="77777777" w:rsidR="001C343F" w:rsidRDefault="001435AD">
            <w:pPr>
              <w:pStyle w:val="Compact"/>
            </w:pPr>
            <w:r>
              <w:t>NO3-</w:t>
            </w:r>
          </w:p>
        </w:tc>
        <w:tc>
          <w:tcPr>
            <w:tcW w:w="0" w:type="auto"/>
          </w:tcPr>
          <w:p w14:paraId="6FFB2BE0" w14:textId="77777777" w:rsidR="001C343F" w:rsidRDefault="001435AD">
            <w:pPr>
              <w:pStyle w:val="Compact"/>
            </w:pPr>
            <w:r>
              <w:t>800</w:t>
            </w:r>
          </w:p>
        </w:tc>
        <w:tc>
          <w:tcPr>
            <w:tcW w:w="0" w:type="auto"/>
          </w:tcPr>
          <w:p w14:paraId="11CF1C0D" w14:textId="77777777" w:rsidR="001C343F" w:rsidRDefault="001435AD">
            <w:pPr>
              <w:pStyle w:val="Compact"/>
            </w:pPr>
            <w:r>
              <w:t>1200</w:t>
            </w:r>
          </w:p>
        </w:tc>
        <w:tc>
          <w:tcPr>
            <w:tcW w:w="0" w:type="auto"/>
          </w:tcPr>
          <w:p w14:paraId="5173D2F2" w14:textId="77777777" w:rsidR="001C343F" w:rsidRDefault="001435AD">
            <w:pPr>
              <w:pStyle w:val="Compact"/>
            </w:pPr>
            <w:r>
              <w:t>1600</w:t>
            </w:r>
          </w:p>
        </w:tc>
      </w:tr>
      <w:tr w:rsidR="001C343F" w14:paraId="3EC7548D" w14:textId="77777777">
        <w:tc>
          <w:tcPr>
            <w:tcW w:w="0" w:type="auto"/>
          </w:tcPr>
          <w:p w14:paraId="6DC160D2" w14:textId="77777777" w:rsidR="001C343F" w:rsidRDefault="001435AD">
            <w:pPr>
              <w:pStyle w:val="Compact"/>
            </w:pPr>
            <w:r>
              <w:t>Ca2+</w:t>
            </w:r>
          </w:p>
        </w:tc>
        <w:tc>
          <w:tcPr>
            <w:tcW w:w="0" w:type="auto"/>
          </w:tcPr>
          <w:p w14:paraId="2EAC50A0" w14:textId="77777777" w:rsidR="001C343F" w:rsidRDefault="001435AD">
            <w:pPr>
              <w:pStyle w:val="Compact"/>
            </w:pPr>
            <w:r>
              <w:t>100</w:t>
            </w:r>
          </w:p>
        </w:tc>
        <w:tc>
          <w:tcPr>
            <w:tcW w:w="0" w:type="auto"/>
          </w:tcPr>
          <w:p w14:paraId="239DD92D" w14:textId="77777777" w:rsidR="001C343F" w:rsidRDefault="001435AD">
            <w:pPr>
              <w:pStyle w:val="Compact"/>
            </w:pPr>
            <w:r>
              <w:t>200</w:t>
            </w:r>
          </w:p>
        </w:tc>
        <w:tc>
          <w:tcPr>
            <w:tcW w:w="0" w:type="auto"/>
          </w:tcPr>
          <w:p w14:paraId="79A15F06" w14:textId="77777777" w:rsidR="001C343F" w:rsidRDefault="001435AD">
            <w:pPr>
              <w:pStyle w:val="Compact"/>
            </w:pPr>
            <w:r>
              <w:t>400</w:t>
            </w:r>
          </w:p>
        </w:tc>
      </w:tr>
      <w:tr w:rsidR="001C343F" w14:paraId="599F043F" w14:textId="77777777">
        <w:tc>
          <w:tcPr>
            <w:tcW w:w="0" w:type="auto"/>
          </w:tcPr>
          <w:p w14:paraId="00038A4E" w14:textId="77777777" w:rsidR="001C343F" w:rsidRDefault="001435AD">
            <w:pPr>
              <w:pStyle w:val="Compact"/>
            </w:pPr>
            <w:r>
              <w:t>K+</w:t>
            </w:r>
          </w:p>
        </w:tc>
        <w:tc>
          <w:tcPr>
            <w:tcW w:w="0" w:type="auto"/>
          </w:tcPr>
          <w:p w14:paraId="22DD8716" w14:textId="77777777" w:rsidR="001C343F" w:rsidRDefault="001435AD">
            <w:pPr>
              <w:pStyle w:val="Compact"/>
            </w:pPr>
            <w:r>
              <w:t>100</w:t>
            </w:r>
          </w:p>
        </w:tc>
        <w:tc>
          <w:tcPr>
            <w:tcW w:w="0" w:type="auto"/>
          </w:tcPr>
          <w:p w14:paraId="27942C0A" w14:textId="77777777" w:rsidR="001C343F" w:rsidRDefault="001435AD">
            <w:pPr>
              <w:pStyle w:val="Compact"/>
            </w:pPr>
            <w:r>
              <w:t>200</w:t>
            </w:r>
          </w:p>
        </w:tc>
        <w:tc>
          <w:tcPr>
            <w:tcW w:w="0" w:type="auto"/>
          </w:tcPr>
          <w:p w14:paraId="7A6A4326" w14:textId="77777777" w:rsidR="001C343F" w:rsidRDefault="001435AD">
            <w:pPr>
              <w:pStyle w:val="Compact"/>
            </w:pPr>
            <w:r>
              <w:t>400</w:t>
            </w:r>
          </w:p>
        </w:tc>
      </w:tr>
    </w:tbl>
    <w:p w14:paraId="4472DBA6" w14:textId="77777777" w:rsidR="001C343F" w:rsidRDefault="001435AD">
      <w:pPr>
        <w:pStyle w:val="Plattetekst"/>
      </w:pPr>
      <w:r>
        <w:rPr>
          <w:b/>
          <w:bCs/>
        </w:rPr>
        <w:t>Referentie vloeistof</w:t>
      </w:r>
    </w:p>
    <w:p w14:paraId="05614554" w14:textId="77777777" w:rsidR="001C343F" w:rsidRPr="00400024" w:rsidRDefault="001435AD">
      <w:pPr>
        <w:pStyle w:val="Plattetekst"/>
        <w:rPr>
          <w:lang w:val="nl-BE"/>
        </w:rPr>
      </w:pPr>
      <w:r w:rsidRPr="00400024">
        <w:rPr>
          <w:lang w:val="nl-BE"/>
        </w:rPr>
        <w:t xml:space="preserve">De elektroden hebben ook een referentie nodig, hiervoor wordt een referentie </w:t>
      </w:r>
      <w:proofErr w:type="spellStart"/>
      <w:r w:rsidRPr="00400024">
        <w:rPr>
          <w:lang w:val="nl-BE"/>
        </w:rPr>
        <w:t>probe</w:t>
      </w:r>
      <w:proofErr w:type="spellEnd"/>
      <w:r w:rsidRPr="00400024">
        <w:rPr>
          <w:lang w:val="nl-BE"/>
        </w:rPr>
        <w:t xml:space="preserve"> gevuld met een bekende vloeistof. Dit is 3M </w:t>
      </w:r>
      <w:proofErr w:type="spellStart"/>
      <w:r w:rsidRPr="00400024">
        <w:rPr>
          <w:lang w:val="nl-BE"/>
        </w:rPr>
        <w:t>KCl</w:t>
      </w:r>
      <w:proofErr w:type="spellEnd"/>
      <w:r w:rsidRPr="00400024">
        <w:rPr>
          <w:lang w:val="nl-BE"/>
        </w:rPr>
        <w:t xml:space="preserve"> gesatureerd met </w:t>
      </w:r>
      <w:proofErr w:type="spellStart"/>
      <w:r w:rsidRPr="00400024">
        <w:rPr>
          <w:lang w:val="nl-BE"/>
        </w:rPr>
        <w:t>AgCl</w:t>
      </w:r>
      <w:proofErr w:type="spellEnd"/>
      <w:r w:rsidRPr="00400024">
        <w:rPr>
          <w:lang w:val="nl-BE"/>
        </w:rPr>
        <w:t>. Deze oplossing kunnen we aankopen en hoeven we niet zelf te maken.</w:t>
      </w:r>
    </w:p>
    <w:p w14:paraId="7FAD48B5" w14:textId="77777777" w:rsidR="001C343F" w:rsidRPr="00400024" w:rsidRDefault="001435AD">
      <w:pPr>
        <w:pStyle w:val="Plattetekst"/>
        <w:rPr>
          <w:lang w:val="nl-BE"/>
        </w:rPr>
      </w:pPr>
      <w:r w:rsidRPr="00400024">
        <w:rPr>
          <w:b/>
          <w:bCs/>
          <w:lang w:val="nl-BE"/>
        </w:rPr>
        <w:t>Voedingsstoffen</w:t>
      </w:r>
    </w:p>
    <w:p w14:paraId="35CB3380" w14:textId="77777777" w:rsidR="001C343F" w:rsidRPr="00400024" w:rsidRDefault="001435AD">
      <w:pPr>
        <w:pStyle w:val="Plattetekst"/>
        <w:rPr>
          <w:lang w:val="nl-BE"/>
        </w:rPr>
      </w:pPr>
      <w:r w:rsidRPr="00400024">
        <w:rPr>
          <w:lang w:val="nl-BE"/>
        </w:rPr>
        <w:t>We hebben ervoor gekozen om geen eigen voedingsstoffen samen te stellen voor het voeden van de planten, in de plaats daarvan kozen we voor een commerciële oplossing. We hebben hiervoor plantenvoeding gekocht. Deze plantenvoeding heef een NK waarde van 2,5-4,0. Deze waarde verwijst naar de verhouding van stikstof en kalium in de voedingsstof. In ons geval bevat de voeding 2,5% stikstof, dit bevordert de bladgroei en algemene groei van de plant en 4,0% kalium, dit versterkt de weerstand van de plant, bevorder</w:t>
      </w:r>
      <w:r w:rsidRPr="00400024">
        <w:rPr>
          <w:lang w:val="nl-BE"/>
        </w:rPr>
        <w:t xml:space="preserve">t de wortelontwikkeling en de bloei/vruchtvorming. Er staat geen fosfor vermeld, dit wil zeggen dat de gekozen plantenvoeding weinig tot geen fosfor bevat. Voor een betere opbrengst van de kast is het dus een goeie optie in een later stadium te kijken voor hogere kwaliteit voedingsstoffen. In de gebruikershandleiding staan ook aanbevolen verhoudingen voor verschillende soorten planten namelijk: kruiden ¼ dop per 2l, groenten 1 dop per 5l. Dit is een interessante verhouding om mee te nemen voor de </w:t>
      </w:r>
      <w:proofErr w:type="spellStart"/>
      <w:r w:rsidRPr="00400024">
        <w:rPr>
          <w:lang w:val="nl-BE"/>
        </w:rPr>
        <w:t>tuning</w:t>
      </w:r>
      <w:proofErr w:type="spellEnd"/>
      <w:r w:rsidRPr="00400024">
        <w:rPr>
          <w:lang w:val="nl-BE"/>
        </w:rPr>
        <w:t xml:space="preserve"> van</w:t>
      </w:r>
      <w:r w:rsidRPr="00400024">
        <w:rPr>
          <w:lang w:val="nl-BE"/>
        </w:rPr>
        <w:t xml:space="preserve"> de </w:t>
      </w:r>
      <w:proofErr w:type="spellStart"/>
      <w:r w:rsidRPr="00400024">
        <w:rPr>
          <w:lang w:val="nl-BE"/>
        </w:rPr>
        <w:t>vertical</w:t>
      </w:r>
      <w:proofErr w:type="spellEnd"/>
      <w:r w:rsidRPr="00400024">
        <w:rPr>
          <w:lang w:val="nl-BE"/>
        </w:rPr>
        <w:t xml:space="preserve"> farm en de mogelijke verschillende gewassen. De grote verdunning toont aan hoe krachtig het concentraat is.</w:t>
      </w:r>
    </w:p>
    <w:p w14:paraId="4F839722" w14:textId="77777777" w:rsidR="001C343F" w:rsidRPr="00400024" w:rsidRDefault="001435AD">
      <w:pPr>
        <w:pStyle w:val="Plattetekst"/>
        <w:rPr>
          <w:lang w:val="nl-BE"/>
        </w:rPr>
      </w:pPr>
      <w:r w:rsidRPr="00400024">
        <w:rPr>
          <w:b/>
          <w:bCs/>
          <w:lang w:val="nl-BE"/>
        </w:rPr>
        <w:t>Kallibratie</w:t>
      </w:r>
    </w:p>
    <w:p w14:paraId="0649C0D5" w14:textId="77777777" w:rsidR="001C343F" w:rsidRPr="00400024" w:rsidRDefault="001435AD">
      <w:pPr>
        <w:pStyle w:val="Plattetekst"/>
        <w:rPr>
          <w:lang w:val="nl-BE"/>
        </w:rPr>
      </w:pPr>
      <w:r w:rsidRPr="00400024">
        <w:rPr>
          <w:lang w:val="nl-BE"/>
        </w:rPr>
        <w:t>Zodra de drie concentraties voor een sensor zijn gemaakt, vindt de 3-puntskalibratie plaats. De referentie-ISE (</w:t>
      </w:r>
      <w:proofErr w:type="spellStart"/>
      <w:r w:rsidRPr="00400024">
        <w:rPr>
          <w:lang w:val="nl-BE"/>
        </w:rPr>
        <w:t>IonSelectieve</w:t>
      </w:r>
      <w:proofErr w:type="spellEnd"/>
      <w:r w:rsidRPr="00400024">
        <w:rPr>
          <w:lang w:val="nl-BE"/>
        </w:rPr>
        <w:t xml:space="preserve"> Elektrode) en de </w:t>
      </w:r>
      <w:proofErr w:type="spellStart"/>
      <w:r w:rsidRPr="00400024">
        <w:rPr>
          <w:lang w:val="nl-BE"/>
        </w:rPr>
        <w:t>stofspecifieke</w:t>
      </w:r>
      <w:proofErr w:type="spellEnd"/>
      <w:r w:rsidRPr="00400024">
        <w:rPr>
          <w:lang w:val="nl-BE"/>
        </w:rPr>
        <w:t xml:space="preserve"> ISE worden achtereenvolgens in elk van de drie bijhorende concentraties geplaatst en de spanning wordt gemeten.</w:t>
      </w:r>
    </w:p>
    <w:tbl>
      <w:tblPr>
        <w:tblStyle w:val="Table"/>
        <w:tblW w:w="0" w:type="auto"/>
        <w:tblLook w:val="0020" w:firstRow="1" w:lastRow="0" w:firstColumn="0" w:lastColumn="0" w:noHBand="0" w:noVBand="0"/>
      </w:tblPr>
      <w:tblGrid>
        <w:gridCol w:w="732"/>
        <w:gridCol w:w="1532"/>
        <w:gridCol w:w="1225"/>
        <w:gridCol w:w="2123"/>
      </w:tblGrid>
      <w:tr w:rsidR="001C343F" w14:paraId="20C3C7CF" w14:textId="77777777" w:rsidTr="00400024">
        <w:trPr>
          <w:cnfStyle w:val="100000000000" w:firstRow="1" w:lastRow="0" w:firstColumn="0" w:lastColumn="0" w:oddVBand="0" w:evenVBand="0" w:oddHBand="0" w:evenHBand="0" w:firstRowFirstColumn="0" w:firstRowLastColumn="0" w:lastRowFirstColumn="0" w:lastRowLastColumn="0"/>
          <w:tblHeader/>
        </w:trPr>
        <w:tc>
          <w:tcPr>
            <w:tcW w:w="0" w:type="auto"/>
          </w:tcPr>
          <w:p w14:paraId="567757CF" w14:textId="77777777" w:rsidR="001C343F" w:rsidRDefault="001435AD">
            <w:pPr>
              <w:pStyle w:val="Compact"/>
            </w:pPr>
            <w:r>
              <w:t>Ion</w:t>
            </w:r>
          </w:p>
        </w:tc>
        <w:tc>
          <w:tcPr>
            <w:tcW w:w="0" w:type="auto"/>
          </w:tcPr>
          <w:p w14:paraId="3B709563" w14:textId="77777777" w:rsidR="001C343F" w:rsidRDefault="001435AD">
            <w:pPr>
              <w:pStyle w:val="Compact"/>
            </w:pPr>
            <w:r>
              <w:t>Concentratie</w:t>
            </w:r>
          </w:p>
        </w:tc>
        <w:tc>
          <w:tcPr>
            <w:tcW w:w="0" w:type="auto"/>
          </w:tcPr>
          <w:p w14:paraId="691FD419" w14:textId="77777777" w:rsidR="001C343F" w:rsidRDefault="001435AD">
            <w:pPr>
              <w:pStyle w:val="Compact"/>
            </w:pPr>
            <w:r>
              <w:t>Oplossing</w:t>
            </w:r>
          </w:p>
        </w:tc>
        <w:tc>
          <w:tcPr>
            <w:tcW w:w="2123" w:type="dxa"/>
          </w:tcPr>
          <w:p w14:paraId="0518BAD2" w14:textId="77777777" w:rsidR="001C343F" w:rsidRDefault="001435AD">
            <w:pPr>
              <w:pStyle w:val="Compact"/>
            </w:pPr>
            <w:r>
              <w:t>Gemeten spanning</w:t>
            </w:r>
          </w:p>
        </w:tc>
      </w:tr>
      <w:tr w:rsidR="001C343F" w14:paraId="16AD98EC" w14:textId="77777777" w:rsidTr="00400024">
        <w:tc>
          <w:tcPr>
            <w:tcW w:w="0" w:type="auto"/>
          </w:tcPr>
          <w:p w14:paraId="11D5088C" w14:textId="77777777" w:rsidR="001C343F" w:rsidRDefault="001C343F">
            <w:pPr>
              <w:pStyle w:val="Compact"/>
            </w:pPr>
          </w:p>
        </w:tc>
        <w:tc>
          <w:tcPr>
            <w:tcW w:w="0" w:type="auto"/>
          </w:tcPr>
          <w:p w14:paraId="34B5AD1D" w14:textId="77777777" w:rsidR="001C343F" w:rsidRDefault="001C343F">
            <w:pPr>
              <w:pStyle w:val="Compact"/>
            </w:pPr>
          </w:p>
        </w:tc>
        <w:tc>
          <w:tcPr>
            <w:tcW w:w="0" w:type="auto"/>
          </w:tcPr>
          <w:p w14:paraId="38BF0B9A" w14:textId="77777777" w:rsidR="001C343F" w:rsidRDefault="001435AD">
            <w:pPr>
              <w:pStyle w:val="Compact"/>
            </w:pPr>
            <w:r>
              <w:t>[mg/l]</w:t>
            </w:r>
          </w:p>
        </w:tc>
        <w:tc>
          <w:tcPr>
            <w:tcW w:w="2123" w:type="dxa"/>
          </w:tcPr>
          <w:p w14:paraId="142CD329" w14:textId="77777777" w:rsidR="001C343F" w:rsidRDefault="001435AD">
            <w:pPr>
              <w:pStyle w:val="Compact"/>
            </w:pPr>
            <w:r>
              <w:t>[mV]</w:t>
            </w:r>
          </w:p>
        </w:tc>
      </w:tr>
      <w:tr w:rsidR="001C343F" w14:paraId="674DDA0D" w14:textId="77777777" w:rsidTr="00400024">
        <w:tc>
          <w:tcPr>
            <w:tcW w:w="0" w:type="auto"/>
          </w:tcPr>
          <w:p w14:paraId="1CD06516" w14:textId="77777777" w:rsidR="001C343F" w:rsidRDefault="001435AD">
            <w:pPr>
              <w:pStyle w:val="Compact"/>
            </w:pPr>
            <w:r>
              <w:t>NO₃⁻</w:t>
            </w:r>
          </w:p>
        </w:tc>
        <w:tc>
          <w:tcPr>
            <w:tcW w:w="0" w:type="auto"/>
          </w:tcPr>
          <w:p w14:paraId="01C2BE2F" w14:textId="77777777" w:rsidR="001C343F" w:rsidRDefault="001435AD">
            <w:pPr>
              <w:pStyle w:val="Compact"/>
            </w:pPr>
            <w:r>
              <w:t>Low</w:t>
            </w:r>
          </w:p>
        </w:tc>
        <w:tc>
          <w:tcPr>
            <w:tcW w:w="0" w:type="auto"/>
          </w:tcPr>
          <w:p w14:paraId="2706C59A" w14:textId="77777777" w:rsidR="001C343F" w:rsidRDefault="001435AD">
            <w:pPr>
              <w:pStyle w:val="Compact"/>
            </w:pPr>
            <w:r>
              <w:t>799.0</w:t>
            </w:r>
          </w:p>
        </w:tc>
        <w:tc>
          <w:tcPr>
            <w:tcW w:w="2123" w:type="dxa"/>
          </w:tcPr>
          <w:p w14:paraId="49D76516" w14:textId="77777777" w:rsidR="001C343F" w:rsidRDefault="001435AD">
            <w:pPr>
              <w:pStyle w:val="Compact"/>
            </w:pPr>
            <w:r>
              <w:t>18.0</w:t>
            </w:r>
          </w:p>
        </w:tc>
      </w:tr>
      <w:tr w:rsidR="001C343F" w14:paraId="6D23812C" w14:textId="77777777" w:rsidTr="00400024">
        <w:tc>
          <w:tcPr>
            <w:tcW w:w="0" w:type="auto"/>
          </w:tcPr>
          <w:p w14:paraId="30B3157E" w14:textId="77777777" w:rsidR="001C343F" w:rsidRDefault="001435AD">
            <w:pPr>
              <w:pStyle w:val="Compact"/>
            </w:pPr>
            <w:r>
              <w:lastRenderedPageBreak/>
              <w:t>NO₃⁻</w:t>
            </w:r>
          </w:p>
        </w:tc>
        <w:tc>
          <w:tcPr>
            <w:tcW w:w="0" w:type="auto"/>
          </w:tcPr>
          <w:p w14:paraId="614C4469" w14:textId="77777777" w:rsidR="001C343F" w:rsidRDefault="001435AD">
            <w:pPr>
              <w:pStyle w:val="Compact"/>
            </w:pPr>
            <w:r>
              <w:t>Med</w:t>
            </w:r>
          </w:p>
        </w:tc>
        <w:tc>
          <w:tcPr>
            <w:tcW w:w="0" w:type="auto"/>
          </w:tcPr>
          <w:p w14:paraId="45E94E7B" w14:textId="77777777" w:rsidR="001C343F" w:rsidRDefault="001435AD">
            <w:pPr>
              <w:pStyle w:val="Compact"/>
            </w:pPr>
            <w:r>
              <w:t>958.8</w:t>
            </w:r>
          </w:p>
        </w:tc>
        <w:tc>
          <w:tcPr>
            <w:tcW w:w="2123" w:type="dxa"/>
          </w:tcPr>
          <w:p w14:paraId="22749276" w14:textId="77777777" w:rsidR="001C343F" w:rsidRDefault="001435AD">
            <w:pPr>
              <w:pStyle w:val="Compact"/>
            </w:pPr>
            <w:r>
              <w:t>32.5</w:t>
            </w:r>
          </w:p>
        </w:tc>
      </w:tr>
      <w:tr w:rsidR="001C343F" w14:paraId="059A4A36" w14:textId="77777777" w:rsidTr="00400024">
        <w:tc>
          <w:tcPr>
            <w:tcW w:w="0" w:type="auto"/>
          </w:tcPr>
          <w:p w14:paraId="061F59B1" w14:textId="77777777" w:rsidR="001C343F" w:rsidRDefault="001435AD">
            <w:pPr>
              <w:pStyle w:val="Compact"/>
            </w:pPr>
            <w:r>
              <w:t>NO₃⁻</w:t>
            </w:r>
          </w:p>
        </w:tc>
        <w:tc>
          <w:tcPr>
            <w:tcW w:w="0" w:type="auto"/>
          </w:tcPr>
          <w:p w14:paraId="7BC09392" w14:textId="77777777" w:rsidR="001C343F" w:rsidRDefault="001435AD">
            <w:pPr>
              <w:pStyle w:val="Compact"/>
            </w:pPr>
            <w:r>
              <w:t>High</w:t>
            </w:r>
          </w:p>
        </w:tc>
        <w:tc>
          <w:tcPr>
            <w:tcW w:w="0" w:type="auto"/>
          </w:tcPr>
          <w:p w14:paraId="25EA31B1" w14:textId="77777777" w:rsidR="001C343F" w:rsidRDefault="001435AD">
            <w:pPr>
              <w:pStyle w:val="Compact"/>
            </w:pPr>
            <w:r>
              <w:t>1598.0</w:t>
            </w:r>
          </w:p>
        </w:tc>
        <w:tc>
          <w:tcPr>
            <w:tcW w:w="2123" w:type="dxa"/>
          </w:tcPr>
          <w:p w14:paraId="24810B46" w14:textId="77777777" w:rsidR="001C343F" w:rsidRDefault="001435AD">
            <w:pPr>
              <w:pStyle w:val="Compact"/>
            </w:pPr>
            <w:r>
              <w:t>46.5</w:t>
            </w:r>
          </w:p>
        </w:tc>
      </w:tr>
      <w:tr w:rsidR="001C343F" w14:paraId="042E6AF3" w14:textId="77777777" w:rsidTr="00400024">
        <w:tc>
          <w:tcPr>
            <w:tcW w:w="0" w:type="auto"/>
          </w:tcPr>
          <w:p w14:paraId="0B1D9B90" w14:textId="77777777" w:rsidR="001C343F" w:rsidRDefault="001435AD">
            <w:pPr>
              <w:pStyle w:val="Compact"/>
            </w:pPr>
            <w:r>
              <w:t>Ca²⁺</w:t>
            </w:r>
          </w:p>
        </w:tc>
        <w:tc>
          <w:tcPr>
            <w:tcW w:w="0" w:type="auto"/>
          </w:tcPr>
          <w:p w14:paraId="09E5A1A8" w14:textId="77777777" w:rsidR="001C343F" w:rsidRDefault="001435AD">
            <w:pPr>
              <w:pStyle w:val="Compact"/>
            </w:pPr>
            <w:r>
              <w:t>Low</w:t>
            </w:r>
          </w:p>
        </w:tc>
        <w:tc>
          <w:tcPr>
            <w:tcW w:w="0" w:type="auto"/>
          </w:tcPr>
          <w:p w14:paraId="4977624D" w14:textId="77777777" w:rsidR="001C343F" w:rsidRDefault="001435AD">
            <w:pPr>
              <w:pStyle w:val="Compact"/>
            </w:pPr>
            <w:r>
              <w:t>100.0</w:t>
            </w:r>
          </w:p>
        </w:tc>
        <w:tc>
          <w:tcPr>
            <w:tcW w:w="2123" w:type="dxa"/>
          </w:tcPr>
          <w:p w14:paraId="04030DA0" w14:textId="77777777" w:rsidR="001C343F" w:rsidRDefault="001435AD">
            <w:pPr>
              <w:pStyle w:val="Compact"/>
            </w:pPr>
            <w:r>
              <w:t>23.0</w:t>
            </w:r>
          </w:p>
        </w:tc>
      </w:tr>
      <w:tr w:rsidR="001C343F" w14:paraId="0D86F1E5" w14:textId="77777777" w:rsidTr="00400024">
        <w:tc>
          <w:tcPr>
            <w:tcW w:w="0" w:type="auto"/>
          </w:tcPr>
          <w:p w14:paraId="03C9AC1F" w14:textId="77777777" w:rsidR="001C343F" w:rsidRDefault="001435AD">
            <w:pPr>
              <w:pStyle w:val="Compact"/>
            </w:pPr>
            <w:r>
              <w:t>Ca²⁺</w:t>
            </w:r>
          </w:p>
        </w:tc>
        <w:tc>
          <w:tcPr>
            <w:tcW w:w="0" w:type="auto"/>
          </w:tcPr>
          <w:p w14:paraId="6ADCCB72" w14:textId="77777777" w:rsidR="001C343F" w:rsidRDefault="001435AD">
            <w:pPr>
              <w:pStyle w:val="Compact"/>
            </w:pPr>
            <w:r>
              <w:t>Med</w:t>
            </w:r>
          </w:p>
        </w:tc>
        <w:tc>
          <w:tcPr>
            <w:tcW w:w="0" w:type="auto"/>
          </w:tcPr>
          <w:p w14:paraId="3375B85F" w14:textId="77777777" w:rsidR="001C343F" w:rsidRDefault="001435AD">
            <w:pPr>
              <w:pStyle w:val="Compact"/>
            </w:pPr>
            <w:r>
              <w:t>200.0</w:t>
            </w:r>
          </w:p>
        </w:tc>
        <w:tc>
          <w:tcPr>
            <w:tcW w:w="2123" w:type="dxa"/>
          </w:tcPr>
          <w:p w14:paraId="462ED3FA" w14:textId="77777777" w:rsidR="001C343F" w:rsidRDefault="001435AD">
            <w:pPr>
              <w:pStyle w:val="Compact"/>
            </w:pPr>
            <w:r>
              <w:t>28.0</w:t>
            </w:r>
          </w:p>
        </w:tc>
      </w:tr>
      <w:tr w:rsidR="001C343F" w14:paraId="784B4FAA" w14:textId="77777777" w:rsidTr="00400024">
        <w:tc>
          <w:tcPr>
            <w:tcW w:w="0" w:type="auto"/>
          </w:tcPr>
          <w:p w14:paraId="0CFA8A07" w14:textId="77777777" w:rsidR="001C343F" w:rsidRDefault="001435AD">
            <w:pPr>
              <w:pStyle w:val="Compact"/>
            </w:pPr>
            <w:r>
              <w:t>Ca²⁺</w:t>
            </w:r>
          </w:p>
        </w:tc>
        <w:tc>
          <w:tcPr>
            <w:tcW w:w="0" w:type="auto"/>
          </w:tcPr>
          <w:p w14:paraId="028DEBFD" w14:textId="77777777" w:rsidR="001C343F" w:rsidRDefault="001435AD">
            <w:pPr>
              <w:pStyle w:val="Compact"/>
            </w:pPr>
            <w:r>
              <w:t>High</w:t>
            </w:r>
          </w:p>
        </w:tc>
        <w:tc>
          <w:tcPr>
            <w:tcW w:w="0" w:type="auto"/>
          </w:tcPr>
          <w:p w14:paraId="19A2FA4A" w14:textId="77777777" w:rsidR="001C343F" w:rsidRDefault="001435AD">
            <w:pPr>
              <w:pStyle w:val="Compact"/>
            </w:pPr>
            <w:r>
              <w:t>400.0</w:t>
            </w:r>
          </w:p>
        </w:tc>
        <w:tc>
          <w:tcPr>
            <w:tcW w:w="2123" w:type="dxa"/>
          </w:tcPr>
          <w:p w14:paraId="1C68B743" w14:textId="77777777" w:rsidR="001C343F" w:rsidRDefault="001435AD">
            <w:pPr>
              <w:pStyle w:val="Compact"/>
            </w:pPr>
            <w:r>
              <w:t>33.0</w:t>
            </w:r>
          </w:p>
        </w:tc>
      </w:tr>
      <w:tr w:rsidR="001C343F" w14:paraId="5B2F7B0D" w14:textId="77777777" w:rsidTr="00400024">
        <w:tc>
          <w:tcPr>
            <w:tcW w:w="0" w:type="auto"/>
          </w:tcPr>
          <w:p w14:paraId="7C3C3426" w14:textId="77777777" w:rsidR="001C343F" w:rsidRDefault="001435AD">
            <w:pPr>
              <w:pStyle w:val="Compact"/>
            </w:pPr>
            <w:r>
              <w:t>K⁺</w:t>
            </w:r>
          </w:p>
        </w:tc>
        <w:tc>
          <w:tcPr>
            <w:tcW w:w="0" w:type="auto"/>
          </w:tcPr>
          <w:p w14:paraId="2CA99EB3" w14:textId="77777777" w:rsidR="001C343F" w:rsidRDefault="001435AD">
            <w:pPr>
              <w:pStyle w:val="Compact"/>
            </w:pPr>
            <w:r>
              <w:t>Low</w:t>
            </w:r>
          </w:p>
        </w:tc>
        <w:tc>
          <w:tcPr>
            <w:tcW w:w="0" w:type="auto"/>
          </w:tcPr>
          <w:p w14:paraId="023A0D7A" w14:textId="77777777" w:rsidR="001C343F" w:rsidRDefault="001435AD">
            <w:pPr>
              <w:pStyle w:val="Compact"/>
            </w:pPr>
            <w:r>
              <w:t>101.5</w:t>
            </w:r>
          </w:p>
        </w:tc>
        <w:tc>
          <w:tcPr>
            <w:tcW w:w="2123" w:type="dxa"/>
          </w:tcPr>
          <w:p w14:paraId="0823A9A3" w14:textId="77777777" w:rsidR="001C343F" w:rsidRDefault="001435AD">
            <w:pPr>
              <w:pStyle w:val="Compact"/>
            </w:pPr>
            <w:r>
              <w:t>91.0</w:t>
            </w:r>
          </w:p>
        </w:tc>
      </w:tr>
      <w:tr w:rsidR="001C343F" w14:paraId="75EF266F" w14:textId="77777777" w:rsidTr="00400024">
        <w:tc>
          <w:tcPr>
            <w:tcW w:w="0" w:type="auto"/>
          </w:tcPr>
          <w:p w14:paraId="47909255" w14:textId="77777777" w:rsidR="001C343F" w:rsidRDefault="001435AD">
            <w:pPr>
              <w:pStyle w:val="Compact"/>
            </w:pPr>
            <w:r>
              <w:t>K⁺</w:t>
            </w:r>
          </w:p>
        </w:tc>
        <w:tc>
          <w:tcPr>
            <w:tcW w:w="0" w:type="auto"/>
          </w:tcPr>
          <w:p w14:paraId="104A91A9" w14:textId="77777777" w:rsidR="001C343F" w:rsidRDefault="001435AD">
            <w:pPr>
              <w:pStyle w:val="Compact"/>
            </w:pPr>
            <w:r>
              <w:t>Med</w:t>
            </w:r>
          </w:p>
        </w:tc>
        <w:tc>
          <w:tcPr>
            <w:tcW w:w="0" w:type="auto"/>
          </w:tcPr>
          <w:p w14:paraId="17C2BE83" w14:textId="77777777" w:rsidR="001C343F" w:rsidRDefault="001435AD">
            <w:pPr>
              <w:pStyle w:val="Compact"/>
            </w:pPr>
            <w:r>
              <w:t>203.0</w:t>
            </w:r>
          </w:p>
        </w:tc>
        <w:tc>
          <w:tcPr>
            <w:tcW w:w="2123" w:type="dxa"/>
          </w:tcPr>
          <w:p w14:paraId="25137152" w14:textId="77777777" w:rsidR="001C343F" w:rsidRDefault="001435AD">
            <w:pPr>
              <w:pStyle w:val="Compact"/>
            </w:pPr>
            <w:r>
              <w:t>106.0</w:t>
            </w:r>
          </w:p>
        </w:tc>
      </w:tr>
      <w:tr w:rsidR="001C343F" w14:paraId="207BB514" w14:textId="77777777" w:rsidTr="00400024">
        <w:tc>
          <w:tcPr>
            <w:tcW w:w="0" w:type="auto"/>
          </w:tcPr>
          <w:p w14:paraId="72A273BF" w14:textId="77777777" w:rsidR="001C343F" w:rsidRDefault="001435AD">
            <w:pPr>
              <w:pStyle w:val="Compact"/>
            </w:pPr>
            <w:r>
              <w:t>K⁺</w:t>
            </w:r>
          </w:p>
        </w:tc>
        <w:tc>
          <w:tcPr>
            <w:tcW w:w="0" w:type="auto"/>
          </w:tcPr>
          <w:p w14:paraId="5D3F574D" w14:textId="77777777" w:rsidR="001C343F" w:rsidRDefault="001435AD">
            <w:pPr>
              <w:pStyle w:val="Compact"/>
            </w:pPr>
            <w:r>
              <w:t>High</w:t>
            </w:r>
          </w:p>
        </w:tc>
        <w:tc>
          <w:tcPr>
            <w:tcW w:w="0" w:type="auto"/>
          </w:tcPr>
          <w:p w14:paraId="62051AFC" w14:textId="77777777" w:rsidR="001C343F" w:rsidRDefault="001435AD">
            <w:pPr>
              <w:pStyle w:val="Compact"/>
            </w:pPr>
            <w:r>
              <w:t>406.0</w:t>
            </w:r>
          </w:p>
        </w:tc>
        <w:tc>
          <w:tcPr>
            <w:tcW w:w="2123" w:type="dxa"/>
          </w:tcPr>
          <w:p w14:paraId="78E9129B" w14:textId="77777777" w:rsidR="001C343F" w:rsidRDefault="001435AD">
            <w:pPr>
              <w:pStyle w:val="Compact"/>
            </w:pPr>
            <w:r>
              <w:t>118.0</w:t>
            </w:r>
          </w:p>
        </w:tc>
      </w:tr>
      <w:bookmarkEnd w:id="0"/>
    </w:tbl>
    <w:p w14:paraId="44DE81FA" w14:textId="77777777" w:rsidR="001435AD" w:rsidRDefault="001435AD"/>
    <w:sectPr w:rsidR="00000000">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35327" w14:textId="77777777" w:rsidR="001435AD" w:rsidRDefault="001435AD">
      <w:pPr>
        <w:spacing w:after="0"/>
      </w:pPr>
      <w:r>
        <w:separator/>
      </w:r>
    </w:p>
  </w:endnote>
  <w:endnote w:type="continuationSeparator" w:id="0">
    <w:p w14:paraId="439A6C81" w14:textId="77777777" w:rsidR="001435AD" w:rsidRDefault="001435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54A48" w14:textId="77777777" w:rsidR="001C343F" w:rsidRDefault="001435AD">
      <w:r>
        <w:separator/>
      </w:r>
    </w:p>
  </w:footnote>
  <w:footnote w:type="continuationSeparator" w:id="0">
    <w:p w14:paraId="6CA216EC" w14:textId="77777777" w:rsidR="001C343F" w:rsidRDefault="00143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FFCA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2405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43F"/>
    <w:rsid w:val="0012142D"/>
    <w:rsid w:val="001435AD"/>
    <w:rsid w:val="001C343F"/>
    <w:rsid w:val="00400024"/>
    <w:rsid w:val="008714F4"/>
    <w:rsid w:val="00A57B1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4152"/>
  <w15:docId w15:val="{6AF87048-EE91-4ACD-9C77-90036DC4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3734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dc:creator>
  <cp:keywords/>
  <cp:lastModifiedBy>Rick</cp:lastModifiedBy>
  <cp:revision>2</cp:revision>
  <dcterms:created xsi:type="dcterms:W3CDTF">2025-05-04T14:18:00Z</dcterms:created>
  <dcterms:modified xsi:type="dcterms:W3CDTF">2025-05-04T14:18:00Z</dcterms:modified>
</cp:coreProperties>
</file>