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4F46E5"/>
          <w:spacing w:val="40"/>
          <w:sz w:val="20"/>
          <w:szCs w:val="20"/>
        </w:rPr>
        <w:t xml:space="preserve">DATA ANALYTICS PROJECT REPORT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827"/>
          <w:sz w:val="60"/>
          <w:szCs w:val="60"/>
        </w:rPr>
        <w:t xml:space="preserve">Customer Churn Analysis</w:t>
      </w:r>
    </w:p>
    <w:p>
      <w:pPr>
        <w:pBdr>
          <w:bottom w:val="single" w:color="4F46E5" w:sz="12" w:space="8"/>
        </w:pBdr>
        <w:spacing w:after="30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An interactive dashboard and prediction model for a telecom company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Developer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Aditya Chauhan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GitHub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github.com/Vertina174/Customer-churn-analysis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· Streamlit · Pandas · Plotly · Scikit-learn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Dataset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IBM Watson Analytics, Telco Customer Churn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E5E7EB" w:sz="4"/>
              <w:left w:val="single" w:color="4F46E5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CUSTOMERS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7,043</w:t>
            </w:r>
          </w:p>
        </w:tc>
        <w:tc>
          <w:tcPr>
            <w:tcW w:type="dxa" w:w="2256"/>
            <w:tcBorders>
              <w:top w:val="single" w:color="E5E7EB" w:sz="4"/>
              <w:left w:val="single" w:color="EF4444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CHURN RATE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26.54%</w:t>
            </w:r>
          </w:p>
        </w:tc>
        <w:tc>
          <w:tcPr>
            <w:tcW w:type="dxa" w:w="2256"/>
            <w:tcBorders>
              <w:top w:val="single" w:color="E5E7EB" w:sz="4"/>
              <w:left w:val="single" w:color="D97706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MONTHLY REVENUE AT RISK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$139,131</w:t>
            </w:r>
          </w:p>
        </w:tc>
        <w:tc>
          <w:tcPr>
            <w:tcW w:type="dxa" w:w="2258"/>
            <w:tcBorders>
              <w:top w:val="single" w:color="E5E7EB" w:sz="4"/>
              <w:left w:val="single" w:color="10B981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MODEL ROC-AUC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84.18%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Customer churn, when customers stop using a service, is one of the most important metrics for subscription businesses. Acquiring a new customer typically costs 5 to 7 times more than keeping an existing one. This project delivers an end-to-end interactive dashboard that helps a telecom company understand why customers leave, who is most at risk, and what it can do about it.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dashboard analyses 7,043 real customer records and includes a Logistic Regression model with a ROC-AUC of 84.18%, meaning it ranks a randomly chosen churner above a randomly chosen non-churner about 84% of the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</w:rPr>
              <w:t xml:space="preserve">Insight: </w:t>
            </w:r>
            <w:r>
              <w:rPr>
                <w:rFonts w:ascii="Calibri" w:cs="Calibri" w:eastAsia="Calibri" w:hAnsi="Calibri"/>
              </w:rPr>
              <w:t xml:space="preserve">Contract type is the strongest churn driver. Month-to-month customers churn at 42.71%, against only 2.83% for two-year contracts. Moving customers onto longer contracts is the single most effective retention action.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Problem Statement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company has a churn rate of 26.54%, so more than 1 in 4 customers leave. This puts $139,131 of monthly recurring revenue at risk. The business needs 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Understand the key drivers of churn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Identify high-risk customer segments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Predict which individual customers are likely to churn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Make data-driven retention decisions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Dataset 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IBM Watson Analytics, Telco Customer Churn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WA_Fn-UseC_-Telco-Customer-Churn.csv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7,043 customers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original columns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 (Yes / No)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 split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73.46% retained · 26.54% churned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Duplicates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blank TotalCharges (new customers with tenure = 0), fixed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3.1 Feature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gender, SeniorCitizen, Partner, Dependents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PhoneService, MultipleLines, InternetService, OnlineSecurity, OnlineBackup, DeviceProtection, TechSupport, StreamingTV, StreamingMovies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tenure, Contract, PaperlessBilling, PaymentMethod, MonthlyCharges, TotalCharges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customerID (identifier), Churn (target)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3.2 Data Quality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Blank strings instead of NaN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TotalCharges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Converted to numeric; blanks set to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 encoding (0/1)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SeniorCitizen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Mapped to Yes / 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Checked: none found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3.14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programming language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1.65.0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web interface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Loading, cleaning, transformation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Numerics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1.26+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operations, statistics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5.20+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charts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1.4+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Logistic Regression, evaluation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control and deployment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4.1 Project Workflow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162050"/>
            <wp:effectExtent t="0" r="0" b="0" l="0"/>
            <wp:docPr id="1" name="fig6_pipeline" descr="Figure 1. Project workflow from raw data to dashboard" title="Figure 1. Project workflow from raw data to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Project workflow from raw data to dashboard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Application Features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dashboard has six pages, selected from the sidebar. All pages respond to the same global filters.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Overview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KPI cards, churn donut chart, contract distribution, tenure trend chart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 by gender, senior citizen, partner and dependents; interaction heatmap; tenure box plot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Internet service churn, add-on services comparison, payment method analysis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Financials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table by contract, charges distribution, scatter plot, box plot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Predictive Model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Accuracy, precision, recall, F1 and ROC-AUC metrics; confusion matrix; feature importance; ROC curve; live predictor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quality report, filterable table, column selector, CSV export, correlation heatmap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5.1 Global Sidebar Filters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Contract type · Gender · Senior citizen · Internet service · Tenure range · Monthly charges range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ig1_overview" descr="Figure 2. Overview page: churn split and customers by contract type" title="Figure 2. Overview page: churn split and customers by contract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2. Overview page: churn split and customers by contract type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Key Findings and Insights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Overall Churn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Churn rate:</w:t>
      </w:r>
      <w:r>
        <w:rPr>
          <w:rFonts w:ascii="Calibri" w:cs="Calibri" w:eastAsia="Calibri" w:hAnsi="Calibri"/>
        </w:rPr>
        <w:t xml:space="preserve"> 26.54% (1,869 of 7,043 customers)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Monthly revenue at risk:</w:t>
      </w:r>
      <w:r>
        <w:rPr>
          <w:rFonts w:ascii="Calibri" w:cs="Calibri" w:eastAsia="Calibri" w:hAnsi="Calibri"/>
        </w:rPr>
        <w:t xml:space="preserve"> $139,131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Average tenure:</w:t>
      </w:r>
      <w:r>
        <w:rPr>
          <w:rFonts w:ascii="Calibri" w:cs="Calibri" w:eastAsia="Calibri" w:hAnsi="Calibri"/>
        </w:rPr>
        <w:t xml:space="preserve"> about 18 months for churned customers, against about 38 months for retained ones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Contract Type: The Strongest Driver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3,875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42.71%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year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1,473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11.27%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year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1,695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2.83%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</w:rPr>
              <w:t xml:space="preserve">Takeaway: </w:t>
            </w:r>
            <w:r>
              <w:rPr>
                <w:rFonts w:ascii="Calibri" w:cs="Calibri" w:eastAsia="Calibri" w:hAnsi="Calibri"/>
              </w:rPr>
              <w:t xml:space="preserve">Converting month-to-month customers to annual contracts would have the largest single impact on churn.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6.3 Payment Method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fig2_contract_payment" descr="Figure 3. Churn rate by contract type and payment method" title="Figure 3. Churn rate by contract type and payment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3. Churn rate by contract type and payment method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Electronic check users churn at about 45%, three times the rate of customers paying by credit card or bank transfer automatically. Automatic payment appears to reduce the friction that leads to cancellation.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6.4 Internet Service and Demographics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fig3_internet_demo" descr="Figure 4. Churn rate by internet service, senior status and partner status" title="Figure 4. Churn rate by internet service, senior status and partner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4. Churn rate by internet service, senior status and partner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Internet service:</w:t>
      </w:r>
      <w:r>
        <w:rPr>
          <w:rFonts w:ascii="Calibri" w:cs="Calibri" w:eastAsia="Calibri" w:hAnsi="Calibri"/>
        </w:rPr>
        <w:t xml:space="preserve"> fiber optic customers churn at about 42%, against about 19% for DSL. Higher charges and unmet service expectations are likely causes.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Seniors:</w:t>
      </w:r>
      <w:r>
        <w:rPr>
          <w:rFonts w:ascii="Calibri" w:cs="Calibri" w:eastAsia="Calibri" w:hAnsi="Calibri"/>
        </w:rPr>
        <w:t xml:space="preserve"> senior citizens churn at about 42%, against about 24% for non-seniors.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Partner:</w:t>
      </w:r>
      <w:r>
        <w:rPr>
          <w:rFonts w:ascii="Calibri" w:cs="Calibri" w:eastAsia="Calibri" w:hAnsi="Calibri"/>
        </w:rPr>
        <w:t xml:space="preserve"> customers without a partner churn at about 33%, against about 20% with one.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6.5 Add-On Services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fig4_addons" descr="Figure 5. Churn rate for customers with and without each add-on service" title="Figure 5. Churn rate for customers with and without each add-on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5. Churn rate for customers with and without each add-on service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Protective add-ons make the biggest difference. Customers without OnlineSecurity churn at 41.8% against 14.6% with it, and customers without TechSupport churn at 41.6% against 15.2% with it. Streaming and phone services show little effect.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46E5"/>
              </w:rPr>
              <w:t xml:space="preserve">Insight: </w:t>
            </w:r>
            <w:r>
              <w:rPr>
                <w:rFonts w:ascii="Calibri" w:cs="Calibri" w:eastAsia="Calibri" w:hAnsi="Calibri"/>
              </w:rPr>
              <w:t xml:space="preserve">Bundling security and support add-ons is a proven retention lever.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6.6 New Customer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first 12 months are the highest-risk period.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After month 24, the churn rate drops significantly.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Early engagement programs in the first year are critical.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Machine Learning Model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Approach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Algorithm:</w:t>
      </w:r>
      <w:r>
        <w:rPr>
          <w:rFonts w:ascii="Calibri" w:cs="Calibri" w:eastAsia="Calibri" w:hAnsi="Calibri"/>
        </w:rPr>
        <w:t xml:space="preserve"> Logistic Regression (interpretable, fast, suited to binary classification)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Preprocessing:</w:t>
      </w:r>
      <w:r>
        <w:rPr>
          <w:rFonts w:ascii="Calibri" w:cs="Calibri" w:eastAsia="Calibri" w:hAnsi="Calibri"/>
        </w:rPr>
        <w:t xml:space="preserve"> one-hot encoding for categorical features and StandardScaler for numeric 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Split:</w:t>
      </w:r>
      <w:r>
        <w:rPr>
          <w:rFonts w:ascii="Calibri" w:cs="Calibri" w:eastAsia="Calibri" w:hAnsi="Calibri"/>
        </w:rPr>
        <w:t xml:space="preserve"> 80% training / 20% test, stratified by churn class (1,409 test customers)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Model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E5E7EB" w:sz="4"/>
              <w:left w:val="single" w:color="4F46E5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ACCURACY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80.7%</w:t>
            </w:r>
          </w:p>
        </w:tc>
        <w:tc>
          <w:tcPr>
            <w:tcW w:type="dxa" w:w="1805"/>
            <w:tcBorders>
              <w:top w:val="single" w:color="E5E7EB" w:sz="4"/>
              <w:left w:val="single" w:color="10B981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PRECISION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65.84%</w:t>
            </w:r>
          </w:p>
        </w:tc>
        <w:tc>
          <w:tcPr>
            <w:tcW w:type="dxa" w:w="1805"/>
            <w:tcBorders>
              <w:top w:val="single" w:color="E5E7EB" w:sz="4"/>
              <w:left w:val="single" w:color="EF4444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RECALL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56.68%</w:t>
            </w:r>
          </w:p>
        </w:tc>
        <w:tc>
          <w:tcPr>
            <w:tcW w:type="dxa" w:w="1805"/>
            <w:tcBorders>
              <w:top w:val="single" w:color="E5E7EB" w:sz="4"/>
              <w:left w:val="single" w:color="D97706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F1 SCORE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60.92%</w:t>
            </w:r>
          </w:p>
        </w:tc>
        <w:tc>
          <w:tcPr>
            <w:tcW w:type="dxa" w:w="1806"/>
            <w:tcBorders>
              <w:top w:val="single" w:color="E5E7EB" w:sz="4"/>
              <w:left w:val="single" w:color="6B7280" w:sz="2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5"/>
                <w:szCs w:val="15"/>
              </w:rPr>
              <w:t xml:space="preserve">ROC-AUC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11827"/>
                <w:sz w:val="34"/>
                <w:szCs w:val="34"/>
              </w:rPr>
              <w:t xml:space="preserve">84.18%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80.7%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Correctly classifies 4 in 5 customers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65.84%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it predicts churn, it is right 66% of the time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56.68%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Catches 57% of all actual churners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F1 score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60.92%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 of precision and recall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84.18%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Separates churners from non-churners 84% of the time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7.3 Confusion Matrix and Top Predictors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fig5_model" descr="Figure 6. Confusion matrix and the most influential features (coefficients approximate)" title="Figure 6. Confusion matrix and the most influential features (coefficients approxim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6. Confusion matrix and the most influential features (coefficients approximate)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Of 374 actual churners in the test set, the model catches 212 and misses 162. It also flags 110 customers who stay. Strong retention signals are longer tenure and two-year contracts; strong churn signals are fiber optic internet and higher total charges.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7.4 Live Predictor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dashboard includes a real-time churn probability calculator. A user fills in any customer profile and gets an instant prediction with a HIGH or LOW risk label.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Business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Offer discounts to move month-to-month customers onto annual contracts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 falls from about 42% to about 11% for converted customers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Launch an onboarding program for customers in their first 12 months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Targets the highest-risk period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Encourage automatic payment enrollment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 the 45% churn rate among electronic check users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Bundle OnlineSecurity and TechSupport with fiber optic plans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Bring fiber churn closer to DSL (about 19%)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senior citizen retention program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the 42% churn rate in this segment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the ML predictor to list top at-risk customers each month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Enables outreach before they leave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Limitations and Future 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Recall of 56.68% means the model misses a large share of churners. Tuning the decision threshold or trying tree-based models could improve this.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dataset is a single snapshot, so it cannot show how customer behavior changes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Findings show association, not cause. Retention offers should be tested with A/B experiments before wide rollout.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Future additions: cost-aware thresholds, customer lifetime value, and automated monthly scoring.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Conclusion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project turns a raw customer table into a decision tool. Churn is concentrated among month-to-month, fiber optic, electronic check and early-tenure customers, and those without security and support add-ons. With an ROC-AUC of 84.18%, the model gives the company a practical way to rank customers by risk and focus retention effort where it matters most.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Customer Churn Analysis · Aditya Chauhan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118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b4f4c76c3ebf299e0ebf692058c4328c339f1f.png"/><Relationship Id="rId10" Type="http://schemas.openxmlformats.org/officeDocument/2006/relationships/image" Target="media/ae9345b51f0698823bc5eadf984d49a8c31f1e07.png"/><Relationship Id="rId11" Type="http://schemas.openxmlformats.org/officeDocument/2006/relationships/image" Target="media/1d494179fe7768690aa438f79f7840120bf22cc3.png"/><Relationship Id="rId12" Type="http://schemas.openxmlformats.org/officeDocument/2006/relationships/image" Target="media/b45aa9cc4b7e02f1c59f51851f02b91dc9fed31c.png"/><Relationship Id="rId13" Type="http://schemas.openxmlformats.org/officeDocument/2006/relationships/image" Target="media/152755acb6ad51e615d4c794b02ff6dd56548a50.png"/><Relationship Id="rId14" Type="http://schemas.openxmlformats.org/officeDocument/2006/relationships/image" Target="media/c486b470bbcf5f2c2679c98e206658e5fc6e3bb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Analysis</dc:title>
  <dc:creator>Aditya Chauhan</dc:creator>
  <cp:lastModifiedBy>Un-named</cp:lastModifiedBy>
  <cp:revision>1</cp:revision>
  <dcterms:created xsi:type="dcterms:W3CDTF">2026-10-10T18:58:42.459Z</dcterms:created>
  <dcterms:modified xsi:type="dcterms:W3CDTF">2026-10-10T18:58:42.460Z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