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graphical_abstract_three_scenarios.png"/>
                    <pic:cNvPicPr/>
                  </pic:nvPicPr>
                  <pic:blipFill>
                    <a:blip r:embed="rId9"/>
                    <a:stretch>
                      <a:fillRect/>
                    </a:stretch>
                  </pic:blipFill>
                  <pic:spPr>
                    <a:xfrm>
                      <a:off x="0" y="0"/>
                      <a:ext cx="5943600" cy="2971800"/>
                    </a:xfrm>
                    <a:prstGeom prst="rect"/>
                  </pic:spPr>
                </pic:pic>
              </a:graphicData>
            </a:graphic>
          </wp:inline>
        </w:drawing>
      </w:r>
    </w:p>
    <w:p>
      <w:pPr>
        <w:pStyle w:val="Caption"/>
      </w:pPr>
      <w:r>
        <w:t>Graphical abstract. The agent is designed as a practical interface between expert intent and auditable local analysis for ancient human microbiome and paleomicrobiome data.</w:t>
      </w:r>
    </w:p>
    <w:p>
      <w:pPr>
        <w:pStyle w:val="Heading2"/>
      </w:pPr>
      <w:r>
        <w:t>Introduction</w:t>
      </w:r>
    </w:p>
    <w:p>
      <w:pPr>
        <w:jc w:val="both"/>
      </w:pPr>
      <w:r>
        <w:t>Ancient human microbiome and paleomicrobiome research increasingly depends on heterogeneous public data, including sequencing reads, repository accession records, and supplementary biological tables.[3,7,8]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t>This requirement is especially important for ancient-data research. Ancient DNA and paleomicrobiome materials are commonly low-input, degraded, fragmented, contamination-sensitive, and dependent on strict provenance.[1–3] Early failures, such as mismatched paired-end files, incomplete downloads, malformed FASTQ records, or unreported read-count differences, can compromise downstream mapping, damage profiling, taxonomic assignment, contamination assessment, and authentication.[2,10]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943600" cy="2971800"/>
                    </a:xfrm>
                    <a:prstGeom prst="rect"/>
                  </pic:spPr>
                </pic:pic>
              </a:graphicData>
            </a:graphic>
          </wp:inline>
        </w:drawing>
      </w:r>
    </w:p>
    <w:p>
      <w:pPr>
        <w:pStyle w:val="Caption"/>
      </w:pPr>
      <w:r>
        <w:rPr>
          <w:b/>
        </w:rPr>
        <w:t>Figure 1. Human-in-the-loop architecture of the ancient-data research agent. The workflow starts from an expert natural-language request and source files, including peptide or metadata CSV tables, FASTQ reads, and ENA/SRA accessions. The language model drafts a structured analysis plan, but domain experts review provenance, file pairing, task compatibility, and parameter choices before local execution. Approved skills then perform ancient-data curation, FASTQ quality control, source-record audits, and other reproducible analysis steps. Final outputs are separated from intermediate step files, while audit records preserve the workflow JSON, file checksums, tool reports, and execution history for later inspection and reuse.</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xmlns:a="http://schemas.openxmlformats.org/drawingml/2006/main" xmlns:pic="http://schemas.openxmlformats.org/drawingml/2006/picture">
            <wp:extent cx="5943600" cy="3630561"/>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0561"/>
                    </a:xfrm>
                    <a:prstGeom prst="rect"/>
                  </pic:spPr>
                </pic: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t>We then evaluated six public FASTQ records relevant to ancient or paleomicrobiome source-data reuse. The agent performed file inspection, FastQC, MultiQC, seqkit-based statistics, and metadata comparison against ENA/SRA records.[4–8]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successfully.[2,3,10]</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t>Finally, we used SRR29088443 from SRP508771 as a negative-control audit case because the associated publication record is linked to a retraction.[11,12]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xmlns:a="http://schemas.openxmlformats.org/drawingml/2006/main" xmlns:pic="http://schemas.openxmlformats.org/drawingml/2006/picture">
            <wp:extent cx="5943600" cy="4079602"/>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9602"/>
                    </a:xfrm>
                    <a:prstGeom prst="rect"/>
                  </pic:spPr>
                </pic: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begins.[2,3]</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reporting.[9,10]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utilities.[4–8]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FastQC and MultiQC reports were generated as standard QC artifacts.[4,5] Seqkit-derived values were used for compact source-level summaries and figure preparation.[6]</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