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graphical_abstract_three_scenarios.png"/>
                    <pic:cNvPicPr/>
                  </pic:nvPicPr>
                  <pic:blipFill>
                    <a:blip r:embed="rId9"/>
                    <a:stretch>
                      <a:fillRect/>
                    </a:stretch>
                  </pic:blipFill>
                  <pic:spPr>
                    <a:xfrm>
                      <a:off x="0" y="0"/>
                      <a:ext cx="5943600" cy="2971800"/>
                    </a:xfrm>
                    <a:prstGeom prst="rect"/>
                  </pic:spPr>
                </pic:pic>
              </a:graphicData>
            </a:graphic>
          </wp:inline>
        </w:drawing>
      </w:r>
    </w:p>
    <w:p>
      <w:pPr>
        <w:pStyle w:val="Caption"/>
      </w:pPr>
      <w:r>
        <w:t>Graphical abstract. The agent is designed as a practical interface between expert intent and auditable local analysis for ancient human microbiome and paleomicrobiome data.</w:t>
      </w:r>
    </w:p>
    <w:p>
      <w:pPr>
        <w:pStyle w:val="Heading2"/>
      </w:pPr>
      <w:r>
        <w:t>Introduction</w:t>
      </w:r>
    </w:p>
    <w:p>
      <w:pPr>
        <w:jc w:val="both"/>
      </w:pPr>
      <w:r>
        <w:t>Ancient human microbiome and paleomicrobiome research increasingly depends on heterogeneous public data, including sequencing reads, repository accession records, and supplementary biological tables.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t>This requirement is especially important for ancient-data research. Ancient DNA and paleomicrobiome materials are commonly low-input, degraded, fragmented, contamination-sensitive, and dependent on strict provenance. Early failures, such as mismatched paired-end files, incomplete downloads, malformed FASTQ records, or unreported read-count differences, can compromise downstream mapping, damage profiling, taxonomic assignment, contamination assessment, and authentication.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figure1_agent_workflow_illustrator_editable.png"/>
                    <pic:cNvPicPr/>
                  </pic:nvPicPr>
                  <pic:blipFill>
                    <a:blip r:embed="rId10"/>
                    <a:stretch>
                      <a:fillRect/>
                    </a:stretch>
                  </pic:blipFill>
                  <pic:spPr>
                    <a:xfrm>
                      <a:off x="0" y="0"/>
                      <a:ext cx="5943600" cy="2971800"/>
                    </a:xfrm>
                    <a:prstGeom prst="rect"/>
                  </pic:spPr>
                </pic:pic>
              </a:graphicData>
            </a:graphic>
          </wp:inline>
        </w:drawing>
      </w:r>
    </w:p>
    <w:p>
      <w:pPr>
        <w:pStyle w:val="Caption"/>
      </w:pPr>
      <w:r>
        <w:t>Figure 1. Human-in-the-loop architecture of the research agent. User requests are converted into structured workflows, reviewed by experts, validated for compatibility, executed by predefined local skills and command-line tools, and exported with final outputs, intermediate step outputs, and audit records.</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xmlns:a="http://schemas.openxmlformats.org/drawingml/2006/main" xmlns:pic="http://schemas.openxmlformats.org/drawingml/2006/picture">
            <wp:extent cx="5943600" cy="3630561"/>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0561"/>
                    </a:xfrm>
                    <a:prstGeom prst="rect"/>
                  </pic:spPr>
                </pic: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t>We then evaluated six public FASTQ records relevant to ancient or paleomicrobiome source-data reuse. The agent performed file inspection, FastQC, MultiQC, seqkit-based statistics, and metadata comparison against ENA/SRA records.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t>Finally, we used SRR29088443 from SRP508771 as a negative-control audit case because the associated publication record is linked to a retraction.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xmlns:a="http://schemas.openxmlformats.org/drawingml/2006/main" xmlns:pic="http://schemas.openxmlformats.org/drawingml/2006/picture">
            <wp:extent cx="5943600" cy="4079602"/>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9602"/>
                    </a:xfrm>
                    <a:prstGeom prst="rect"/>
                  </pic:spPr>
                </pic: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FastQC and MultiQC reports were generated as standard QC artifacts. Seqkit-derived values were used for compact source-level summaries and figure preparation.</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