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FASTQ quality control; reproducible bioinformatics</w:t>
      </w:r>
    </w:p>
    <w:p>
      <w:pPr>
        <w:pStyle w:val="Heading2"/>
      </w:pPr>
      <w:r>
        <w:t>Abstract</w:t>
      </w:r>
    </w:p>
    <w:p>
      <w:pPr>
        <w:jc w:val="both"/>
      </w:pPr>
      <w:r>
        <w:t>Ancient human microbiome and paleomicrobiome studies require early-stage analyses that are technically simple in appearance but scientifically consequential in practice, including file-format inspection, source-record verification, FASTQ quality control, paired-end checking, and traceable output management. These steps are difficult for non-specialist users because they require command-line tools, repository metadata interpretation, and careful provenance control. We developed a skill-constrained human-in-the-loop research agent that converts natural-language requests into validated local workflows while preserving expert review points before execution and during result interpretation. The language model proposes the workflow, whereas predefined skills, validators, and local bioinformatics tools perform constrained execution. We evaluated the prototype at both system and dataset levels: workflow validation was used to prevent incompatible step references, and case studies tested peptide table curation, public FASTQ source-data quality control, and audit of a retraction-associated sequencing record. The agent reproduced source-level read counts and file-size metadata across six public FASTQ records, curated a 5,810-row peptide validation table into 5,696 non-redundant records, and produced an auditable source-data report for SRR29088443 without claiming to validate the retracted biological conclusion. These results indicate that natural-language agents can support rigorous paleomicrobiome data analysis when planning, execution, and expert interpretation are separated by explicit workflow constraints.</w:t>
      </w:r>
    </w:p>
    <w:p>
      <w:pPr>
        <w:pStyle w:val="Heading2"/>
      </w:pPr>
      <w:r>
        <w:t>Key points</w:t>
      </w:r>
    </w:p>
    <w:p>
      <w:pPr>
        <w:pStyle w:val="ListBullet"/>
        <w:spacing w:after="60"/>
      </w:pPr>
      <w:r>
        <w:t>The system is framed as an auditable assistant for rigorous ancient human microbiome and paleomicrobiome analysis, not merely as a public-data reuse shortcut.</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workflow validity, file-format compatibility, source-metadata agreement, output traceability, and missing-dependency behavior.</w:t>
      </w:r>
    </w:p>
    <w:p>
      <w:pPr>
        <w:pStyle w:val="ListBullet"/>
        <w:spacing w:after="60"/>
      </w:pPr>
      <w:r>
        <w:t>Dataset-level demonstrations included peptide CSV curation, FASTQ source-data QC, and a retraction-associated source-data audit.</w:t>
      </w:r>
    </w:p>
    <w:p>
      <w:pPr>
        <w:pStyle w:val="Heading2"/>
      </w:pPr>
      <w:r>
        <w:t>Graphical abstract</w:t>
      </w:r>
    </w:p>
    <w:p>
      <w:pPr>
        <w:jc w:val="center"/>
      </w:pPr>
      <w:r>
        <w:drawing>
          <wp:inline xmlns:a="http://schemas.openxmlformats.org/drawingml/2006/main" xmlns:pic="http://schemas.openxmlformats.org/drawingml/2006/picture">
            <wp:extent cx="5943600" cy="3037840"/>
            <wp:docPr id="1" name="Picture 1"/>
            <wp:cNvGraphicFramePr>
              <a:graphicFrameLocks noChangeAspect="1"/>
            </wp:cNvGraphicFramePr>
            <a:graphic>
              <a:graphicData uri="http://schemas.openxmlformats.org/drawingml/2006/picture">
                <pic:pic>
                  <pic:nvPicPr>
                    <pic:cNvPr id="0" name="ancient_dna_source_audit_scene_highres.png"/>
                    <pic:cNvPicPr/>
                  </pic:nvPicPr>
                  <pic:blipFill>
                    <a:blip r:embed="rId9"/>
                    <a:stretch>
                      <a:fillRect/>
                    </a:stretch>
                  </pic:blipFill>
                  <pic:spPr>
                    <a:xfrm>
                      <a:off x="0" y="0"/>
                      <a:ext cx="5943600" cy="3037840"/>
                    </a:xfrm>
                    <a:prstGeom prst="rect"/>
                  </pic:spPr>
                </pic:pic>
              </a:graphicData>
            </a:graphic>
          </wp:inline>
        </w:drawing>
      </w:r>
    </w:p>
    <w:p>
      <w:pPr>
        <w:pStyle w:val="Caption"/>
      </w:pPr>
      <w:r>
        <w:rPr>
          <w:b/>
        </w:rPr>
        <w:t>Graphical abstract. The agent is designed as a practical interface between archaeological source material, fragile ancient-DNA signals, and auditable local source-data checks for ancient human microbiome and paleomicrobiome analysis. Archaeological excavation photograph adapted from Godwin Borg, Wikimedia Commons, CC BY-SA 4.0; remaining schematic elements were created by the authors.</w:t>
      </w:r>
    </w:p>
    <w:p>
      <w:pPr>
        <w:pStyle w:val="Heading2"/>
      </w:pPr>
      <w:r>
        <w:t>Introduction</w:t>
      </w:r>
    </w:p>
    <w:p>
      <w:pPr>
        <w:jc w:val="both"/>
      </w:pPr>
      <w:r>
        <w:rPr/>
        <w:t>Ancient human microbiome and paleomicrobiome research increasingly depends on heterogeneous public data, including sequencing reads, repository accession records, and supplementary biological tables.</w:t>
      </w:r>
      <w:r>
        <w:rPr>
          <w:vertAlign w:val="superscript"/>
        </w:rPr>
        <w:t>3,7,8</w:t>
      </w:r>
      <w:r>
        <w:rPr/>
        <w:t xml:space="preserve">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access to data, but the ability to transform heterogeneous source material into controlled and auditable analyses.</w:t>
      </w:r>
    </w:p>
    <w:p>
      <w:pPr>
        <w:jc w:val="both"/>
      </w:pPr>
      <w:r>
        <w:rPr/>
        <w:t>This requirement is especially important for ancient-data research. Ancient DNA and paleomicrobiome materials are commonly low-input, degraded, fragmented, contamination-sensitive, and dependent on strict provenance.</w:t>
      </w:r>
      <w:r>
        <w:rPr>
          <w:vertAlign w:val="superscript"/>
        </w:rPr>
        <w:t>1–3</w:t>
      </w:r>
      <w:r>
        <w:rPr/>
        <w:t xml:space="preserve"> Early failures, such as mismatched paired-end files, incomplete downloads, malformed FASTQ records, or unreported read-count differences, can compromise downstream mapping, damage profiling, taxonomic assignment, contamination assessment, and authentication.</w:t>
      </w:r>
      <w:r>
        <w:rPr>
          <w:vertAlign w:val="superscript"/>
        </w:rPr>
        <w:t>2,10</w:t>
      </w:r>
      <w:r>
        <w:rPr/>
        <w:t xml:space="preserve"> These checks require professional judgment even when the commands themselves are routine.</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w:t>
      </w:r>
    </w:p>
    <w:p>
      <w:pPr>
        <w:jc w:val="both"/>
      </w:pPr>
      <w:r>
        <w:t>We therefore developed a skill-constrained human-in-the-loop research agent for rigorous paleomicrobiome data analysis. The system uses the language model for workflow proposal, but delegates execution to predefined skills and local tools after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and output traceability.</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943600" cy="2971800"/>
                    </a:xfrm>
                    <a:prstGeom prst="rect"/>
                  </pic:spPr>
                </pic:pic>
              </a:graphicData>
            </a:graphic>
          </wp:inline>
        </w:drawing>
      </w:r>
    </w:p>
    <w:p>
      <w:pPr>
        <w:pStyle w:val="Caption"/>
      </w:pPr>
      <w:r>
        <w:rPr>
          <w:b/>
        </w:rPr>
        <w:t>Figure 1. Human-in-the-loop architecture of the ancient-data research agent. The workflow starts from an expert natural-language request and source files, including peptide or metadata CSV tables, FASTQ reads, and ENA/SRA accessions. The language model drafts a structured analysis plan, but domain experts review provenance, file pairing, task compatibility, and parameter choices before local execution. Approved skills then perform ancient-data curation, FASTQ quality control, source-record audits, and other reproducible analysis steps. Final outputs are separated from intermediate step files, while audit records preserve the workflow JSON, file checksums, tool reports, and execution history for later inspection and reuse.</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targeted reproducibility failure modes</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These criteria were selected because they describe whether a computational analysis can be reviewed and repeated, rather than whether a particular biological conclusion is true.</w:t>
      </w:r>
    </w:p>
    <w:p>
      <w:pPr>
        <w:jc w:val="both"/>
      </w:pPr>
      <w:r>
        <w:t>For sequencing inputs, the most direct reproducibility checks were read-count agreement and file-size agreement between local files and public ENA/SRA records. Derived QC values such as GC content and mean read length were treated as descriptive outputs. This distinction prevented the agent from overclaiming: source-level agreement verifies that the correct files were processed, whereas biological interpretation remains the responsibility of domain experts.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was used to verify that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xmlns:a="http://schemas.openxmlformats.org/drawingml/2006/main" xmlns:pic="http://schemas.openxmlformats.org/drawingml/2006/picture">
            <wp:extent cx="5943600" cy="3630561"/>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0561"/>
                    </a:xfrm>
                    <a:prstGeom prst="rect"/>
                  </pic:spPr>
                </pic: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FASTQ QC verified source-level rigor for sequencing inputs</w:t>
      </w:r>
    </w:p>
    <w:p>
      <w:pPr>
        <w:jc w:val="both"/>
      </w:pPr>
      <w:r>
        <w:rPr/>
        <w:t>We then evaluated six public FASTQ records relevant to ancient or paleomicrobiome source-data reuse. The agent performed file inspection, FastQC, MultiQC, seqkit-based statistics, and metadata comparison against ENA/SRA records.</w:t>
      </w:r>
      <w:r>
        <w:rPr>
          <w:vertAlign w:val="superscript"/>
        </w:rPr>
        <w:t>4–8</w:t>
      </w:r>
      <w:r>
        <w:rPr/>
        <w:t xml:space="preserve">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rPr/>
        <w:t>These results show that the agent can verify whether local sequencing files correspond to the intended public records before downstream analysis. For ancient DNA and paleomicrobiome work, this is a necessary front-end control because incorrect source files, incomplete downloads, or paired-end mismatches can invalidate later alignment, taxonomic, or authentication analyses even when downstream tools run successfully.</w:t>
      </w:r>
      <w:r>
        <w:rPr>
          <w:vertAlign w:val="superscript"/>
        </w:rPr>
        <w:t>2,3,10</w:t>
      </w:r>
    </w:p>
    <w:p>
      <w:pPr>
        <w:jc w:val="center"/>
      </w:pPr>
      <w:r>
        <w:drawing>
          <wp:inline xmlns:a="http://schemas.openxmlformats.org/drawingml/2006/main" xmlns:pic="http://schemas.openxmlformats.org/drawingml/2006/pictur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FASTQ source-data quality control.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retraction-associated audit tested boundary-aware analysis</w:t>
      </w:r>
    </w:p>
    <w:p>
      <w:pPr>
        <w:jc w:val="both"/>
      </w:pPr>
      <w:r>
        <w:rPr/>
        <w:t>Finally, we used SRR29088443 from SRP508771 as a negative-control audit case because the associated publication record is linked to a retraction.</w:t>
      </w:r>
      <w:r>
        <w:rPr>
          <w:vertAlign w:val="superscript"/>
        </w:rPr>
        <w:t>11,12</w:t>
      </w:r>
      <w:r>
        <w:rPr/>
        <w:t xml:space="preserve"> The goal was not to evaluate the retracted biological claim, but to test whether the agent could audit public source data from a problematic literature context while clearly limiting the conclusion to file-level reproducibility.</w:t>
      </w:r>
    </w:p>
    <w:p>
      <w:pPr>
        <w:jc w:val="both"/>
      </w:pPr>
      <w:r>
        <w:t>The agent identified the paired FASTQ files and reproduced the public metadata. Each mate contained 53,571 reads. The total base count was 26,517,645 bp, and compressed file sizes matched the public record for both R1 and R2. Derived QC outputs included mean read lengths of 244 bp and 251 bp, GC contents of 54.0% and 53.6%, and zero malformed records. This case demonstrates that the system can document source-data consistency while explicitly avoiding unsupported claims about a contested biological interpretation.</w:t>
      </w:r>
    </w:p>
    <w:p>
      <w:pPr>
        <w:jc w:val="center"/>
      </w:pPr>
      <w:r>
        <w:drawing>
          <wp:inline xmlns:a="http://schemas.openxmlformats.org/drawingml/2006/main" xmlns:pic="http://schemas.openxmlformats.org/drawingml/2006/picture">
            <wp:extent cx="5943600" cy="4079602"/>
            <wp:docPr id="5" name="Picture 5"/>
            <wp:cNvGraphicFramePr>
              <a:graphicFrameLocks noChangeAspect="1"/>
            </wp:cNvGraphicFramePr>
            <a:graphic>
              <a:graphicData uri="http://schemas.openxmlformats.org/drawingml/2006/picture">
                <pic:pic>
                  <pic:nvPicPr>
                    <pic:cNvPr id="0" name="task3_retracted_fastq_audit.png"/>
                    <pic:cNvPicPr/>
                  </pic:nvPicPr>
                  <pic:blipFill>
                    <a:blip r:embed="rId13"/>
                    <a:stretch>
                      <a:fillRect/>
                    </a:stretch>
                  </pic:blipFill>
                  <pic:spPr>
                    <a:xfrm>
                      <a:off x="0" y="0"/>
                      <a:ext cx="5943600" cy="4079602"/>
                    </a:xfrm>
                    <a:prstGeom prst="rect"/>
                  </pic:spPr>
                </pic:pic>
              </a:graphicData>
            </a:graphic>
          </wp:inline>
        </w:drawing>
      </w:r>
    </w:p>
    <w:p>
      <w:pPr>
        <w:pStyle w:val="Caption"/>
      </w:pPr>
      <w:r>
        <w:t>Figure 4. Retraction-associated source-data audit. A, Public record and accession context. B, Agent-derived metadata deviation from public records. C, Derived FASTQ QC metrics. D, Audit checklist separating source-data verification from biological conclusion validation.</w:t>
      </w:r>
    </w:p>
    <w:p>
      <w:pPr>
        <w:pStyle w:val="Heading2"/>
      </w:pPr>
      <w:r>
        <w:t>Discussion</w:t>
      </w:r>
    </w:p>
    <w:p>
      <w:pPr>
        <w:jc w:val="both"/>
      </w:pPr>
      <w:r>
        <w:rPr/>
        <w:t>This study presents a prototype human-in-the-loop research agent for rigorous early-stage paleomicrobiome and ancient-data analysis. The main contribution is not a new ancient-DNA algorithm, but a controlled natural-language interface that helps researchers move from expert intent to validated, locally executed, and auditable workflows. This framing is important because many errors in ancient-data reuse occur before advanced biological interpretation begins.</w:t>
      </w:r>
      <w:r>
        <w:rPr>
          <w:vertAlign w:val="superscript"/>
        </w:rPr>
        <w:t>2,3</w:t>
      </w:r>
    </w:p>
    <w:p>
      <w:pPr>
        <w:jc w:val="both"/>
      </w:pPr>
      <w:r>
        <w:t>The results indicate that separating planning, validation, execution, and interpretation can make natural-language agents more suitable for scientific work. The language model provides flexibility when translating user intent, while predefined skills and validators restrict what can be executed. Expert review points preserve human responsibility for task definition and interpretation. This structure is particularly relevant for paleomicrobiome studies, where the same file-level operation may have different implications depending on sample preservation, contamination risk, laboratory context, and downstream authentication criteria.</w:t>
      </w:r>
    </w:p>
    <w:p>
      <w:pPr>
        <w:jc w:val="both"/>
      </w:pPr>
      <w:r>
        <w:rPr/>
        <w:t>The current prototype should be interpreted as an auditable front end rather than a complete ancient-DNA analysis platform. It supports file-level checks, table curation, quality-control report generation, and source-record comparison. Future versions should extend the skill library to alignment, duplicate marking, damage-pattern estimation, contamination screening, taxonomic profiling, and authentication reporting.</w:t>
      </w:r>
      <w:r>
        <w:rPr>
          <w:vertAlign w:val="superscript"/>
        </w:rPr>
        <w:t>9,10</w:t>
      </w:r>
      <w:r>
        <w:rPr/>
        <w:t xml:space="preserve"> These extensions should retain the same human-in-the-loop principle: the system may execute standardized operations, but experts must define the question, approve the workflow, and interpret biological meaning.</w:t>
      </w:r>
    </w:p>
    <w:p>
      <w:pPr>
        <w:jc w:val="both"/>
      </w:pPr>
      <w:r>
        <w:t>For practical usability, the tool also requires a public code repository and a usable web interface. The present implementation already uses a local browser-based interface for file upload, natural-language workflow generation, local-execution approval, progress display, and organized output export. Before submission or public distribution, the code should be released on GitHub with example datasets, installation instructions, environment checks, and a stable release tag. A hosted demonstration website or packaged desktop release would further improve accessibility for non-programming users, while preserving local execution for sensitive or large files.</w:t>
      </w: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every step used an available skill, every input reference pointed to an uploaded file or an earlier step output, and every input format was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rPr/>
        <w:t>Validated steps were dispatched to local skills. Implemented skills included peptide CSV normalization, peptide sequence validation, duplicate removal, CSV export, file-type detection, paired-end FASTQ checking, FastQC execution, MultiQC report generation, seqkit statistics, and source-data audit utilities.</w:t>
      </w:r>
      <w:r>
        <w:rPr>
          <w:vertAlign w:val="superscript"/>
        </w:rPr>
        <w:t>4–8</w:t>
      </w:r>
      <w:r>
        <w:rPr/>
        <w:t xml:space="preserve">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Pr>
      <w:r>
        <w:t>Source-level agreement metrics</w:t>
      </w:r>
    </w:p>
    <w:p>
      <w:pPr>
        <w:jc w:val="both"/>
      </w:pPr>
      <w:r>
        <w:t>For FASTQ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FASTQ record was considered source-metadata matched when Δreads = 0 and Rbytes = 1 for the relevant public record. These metrics assessed whether the local file matched the repository source record, not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rPr/>
        <w:t>FastQC and MultiQC reports were generated as standard QC artifacts.</w:t>
      </w:r>
      <w:r>
        <w:rPr>
          <w:vertAlign w:val="superscript"/>
        </w:rPr>
        <w:t>4,5</w:t>
      </w:r>
      <w:r>
        <w:rPr/>
        <w:t xml:space="preserve"> Seqkit-derived values were used for compact source-level summaries and figure preparation.</w:t>
      </w:r>
      <w:r>
        <w:rPr>
          <w:vertAlign w:val="superscript"/>
        </w:rPr>
        <w:t>6</w:t>
      </w:r>
    </w:p>
    <w:p>
      <w:pPr>
        <w:pStyle w:val="Heading3"/>
      </w:pPr>
      <w:r>
        <w:t>Dataset-level evaluations</w:t>
      </w:r>
    </w:p>
    <w:p>
      <w:pPr>
        <w:jc w:val="both"/>
      </w:pPr>
      <w:r>
        <w:t>The peptide CSV case evaluated tabular curation behavior using row counts, duplicate counts, unique sequence counts, label distribution, and peptide-length distribution. The public FASTQ case evaluated six records using read-count agreement, compressed-file-size agreement, GC content, and mean read length. The retraction-associated case evaluated SRR29088443 as a boundary test: source-data reproducibility was audited, but the biological interpretation of the associated retracted article was not assessed.</w:t>
      </w:r>
    </w:p>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Data Availability</w:t>
      </w:r>
    </w:p>
    <w:p>
      <w:pPr>
        <w:jc w:val="both"/>
      </w:pPr>
      <w:r>
        <w:t>All validation datasets used in this study are public or organized as local example files in the project workspace. Public sequencing records were retrieved from ENA/SRA using the accession numbers listed below. Agent-generated cleaned outputs, quality-control reports, workflow JSON files, intermediate step outputs, and run manifests are stored in the local result directories and should be deposited with the code repository before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fill="E8EEF5"/>
            <w:vAlign w:val="center"/>
          </w:tcPr>
          <w:p>
            <w:pPr>
              <w:spacing w:after="30"/>
            </w:pPr>
            <w:r>
              <w:rPr>
                <w:sz w:val="16"/>
              </w:rPr>
            </w:r>
            <w:r>
              <w:rPr>
                <w:b/>
                <w:sz w:val="16"/>
              </w:rPr>
              <w:t>Dataset group</w:t>
            </w:r>
          </w:p>
        </w:tc>
        <w:tc>
          <w:tcPr>
            <w:tcW w:type="dxa" w:w="1512"/>
            <w:shd w:fill="E8EEF5"/>
            <w:vAlign w:val="center"/>
          </w:tcPr>
          <w:p>
            <w:pPr>
              <w:spacing w:after="30"/>
            </w:pPr>
            <w:r>
              <w:rPr>
                <w:sz w:val="16"/>
              </w:rPr>
            </w:r>
            <w:r>
              <w:rPr>
                <w:b/>
                <w:sz w:val="16"/>
              </w:rPr>
              <w:t>Data type</w:t>
            </w:r>
          </w:p>
        </w:tc>
        <w:tc>
          <w:tcPr>
            <w:tcW w:type="dxa" w:w="2376"/>
            <w:shd w:fill="E8EEF5"/>
            <w:vAlign w:val="center"/>
          </w:tcPr>
          <w:p>
            <w:pPr>
              <w:spacing w:after="30"/>
            </w:pPr>
            <w:r>
              <w:rPr>
                <w:sz w:val="16"/>
              </w:rPr>
            </w:r>
            <w:r>
              <w:rPr>
                <w:b/>
                <w:sz w:val="16"/>
              </w:rPr>
              <w:t>Source or accession</w:t>
            </w:r>
          </w:p>
        </w:tc>
        <w:tc>
          <w:tcPr>
            <w:tcW w:type="dxa" w:w="2520"/>
            <w:shd w:fill="E8EEF5"/>
            <w:vAlign w:val="center"/>
          </w:tcPr>
          <w:p>
            <w:pPr>
              <w:spacing w:after="30"/>
            </w:pPr>
            <w:r>
              <w:rPr>
                <w:sz w:val="16"/>
              </w:rPr>
            </w:r>
            <w:r>
              <w:rPr>
                <w:b/>
                <w:sz w:val="16"/>
              </w:rPr>
              <w:t>Role in this study</w:t>
            </w:r>
          </w:p>
        </w:tc>
        <w:tc>
          <w:tcPr>
            <w:tcW w:type="dxa" w:w="1656"/>
            <w:shd w:fill="E8EEF5"/>
            <w:vAlign w:val="center"/>
          </w:tcPr>
          <w:p>
            <w:pPr>
              <w:spacing w:after="30"/>
            </w:pPr>
            <w:r>
              <w:rPr>
                <w:sz w:val="16"/>
              </w:rPr>
            </w:r>
            <w:r>
              <w:rPr>
                <w:b/>
                <w:sz w:val="16"/>
              </w:rPr>
              <w:t>Availability</w:t>
            </w:r>
          </w:p>
        </w:tc>
      </w:tr>
      <w:tr>
        <w:tc>
          <w:tcPr>
            <w:tcW w:type="dxa" w:w="1656"/>
            <w:vAlign w:val="center"/>
          </w:tcPr>
          <w:p>
            <w:pPr>
              <w:spacing w:after="30"/>
            </w:pPr>
            <w:r>
              <w:rPr>
                <w:sz w:val="16"/>
              </w:rPr>
            </w:r>
            <w:r>
              <w:rPr>
                <w:b w:val="0"/>
                <w:sz w:val="16"/>
              </w:rPr>
              <w:t>Peptide validation table</w:t>
            </w:r>
          </w:p>
        </w:tc>
        <w:tc>
          <w:tcPr>
            <w:tcW w:type="dxa" w:w="1512"/>
            <w:vAlign w:val="center"/>
          </w:tcPr>
          <w:p>
            <w:pPr>
              <w:spacing w:after="30"/>
            </w:pPr>
            <w:r>
              <w:rPr>
                <w:sz w:val="16"/>
              </w:rPr>
            </w:r>
            <w:r>
              <w:rPr>
                <w:b w:val="0"/>
                <w:sz w:val="16"/>
              </w:rPr>
              <w:t>CSV peptide table</w:t>
            </w:r>
          </w:p>
        </w:tc>
        <w:tc>
          <w:tcPr>
            <w:tcW w:type="dxa" w:w="2376"/>
            <w:vAlign w:val="center"/>
          </w:tcPr>
          <w:p>
            <w:pPr>
              <w:spacing w:after="30"/>
            </w:pPr>
            <w:r>
              <w:rPr>
                <w:sz w:val="16"/>
              </w:rPr>
            </w:r>
            <w:r>
              <w:rPr>
                <w:b w:val="0"/>
                <w:sz w:val="16"/>
              </w:rPr>
              <w:t>Validation.csv; local validation file derived from the peptide dataset used in this study</w:t>
            </w:r>
          </w:p>
        </w:tc>
        <w:tc>
          <w:tcPr>
            <w:tcW w:type="dxa" w:w="2520"/>
            <w:vAlign w:val="center"/>
          </w:tcPr>
          <w:p>
            <w:pPr>
              <w:spacing w:after="30"/>
            </w:pPr>
            <w:r>
              <w:rPr>
                <w:sz w:val="16"/>
              </w:rPr>
            </w:r>
            <w:r>
              <w:rPr>
                <w:b w:val="0"/>
                <w:sz w:val="16"/>
              </w:rPr>
              <w:t>Tabular curation, sequence validation, duplicate removal and export test</w:t>
            </w:r>
          </w:p>
        </w:tc>
        <w:tc>
          <w:tcPr>
            <w:tcW w:type="dxa" w:w="1656"/>
            <w:vAlign w:val="center"/>
          </w:tcPr>
          <w:p>
            <w:pPr>
              <w:spacing w:after="30"/>
            </w:pPr>
            <w:r>
              <w:rPr>
                <w:sz w:val="16"/>
              </w:rPr>
            </w:r>
            <w:r>
              <w:rPr>
                <w:b w:val="0"/>
                <w:sz w:val="16"/>
              </w:rPr>
              <w:t>Project example data; source-paper details to be finalized before submission</w:t>
            </w:r>
          </w:p>
        </w:tc>
      </w:tr>
      <w:tr>
        <w:tc>
          <w:tcPr>
            <w:tcW w:type="dxa" w:w="1656"/>
            <w:vAlign w:val="center"/>
          </w:tcPr>
          <w:p>
            <w:pPr>
              <w:spacing w:after="30"/>
            </w:pPr>
            <w:r>
              <w:rPr>
                <w:sz w:val="16"/>
              </w:rPr>
            </w:r>
            <w:r>
              <w:rPr>
                <w:b w:val="0"/>
                <w:sz w:val="16"/>
              </w:rPr>
              <w:t>FASTQ source-QC set</w:t>
            </w:r>
          </w:p>
        </w:tc>
        <w:tc>
          <w:tcPr>
            <w:tcW w:type="dxa" w:w="1512"/>
            <w:vAlign w:val="center"/>
          </w:tcPr>
          <w:p>
            <w:pPr>
              <w:spacing w:after="30"/>
            </w:pPr>
            <w:r>
              <w:rPr>
                <w:sz w:val="16"/>
              </w:rPr>
            </w:r>
            <w:r>
              <w:rPr>
                <w:b w:val="0"/>
                <w:sz w:val="16"/>
              </w:rPr>
              <w:t>Public FASTQ records</w:t>
            </w:r>
          </w:p>
        </w:tc>
        <w:tc>
          <w:tcPr>
            <w:tcW w:type="dxa" w:w="2376"/>
            <w:vAlign w:val="center"/>
          </w:tcPr>
          <w:p>
            <w:pPr>
              <w:spacing w:after="30"/>
            </w:pPr>
            <w:r>
              <w:rPr>
                <w:sz w:val="16"/>
              </w:rPr>
            </w:r>
            <w:r>
              <w:rPr>
                <w:b w:val="0"/>
                <w:sz w:val="16"/>
              </w:rPr>
              <w:t>ERR15682270, ERR10114877, ERR3250149, ERR10114867, ERR10114861 and ERR15682267</w:t>
            </w:r>
          </w:p>
        </w:tc>
        <w:tc>
          <w:tcPr>
            <w:tcW w:type="dxa" w:w="2520"/>
            <w:vAlign w:val="center"/>
          </w:tcPr>
          <w:p>
            <w:pPr>
              <w:spacing w:after="30"/>
            </w:pPr>
            <w:r>
              <w:rPr>
                <w:sz w:val="16"/>
              </w:rPr>
            </w:r>
            <w:r>
              <w:rPr>
                <w:b w:val="0"/>
                <w:sz w:val="16"/>
              </w:rPr>
              <w:t>Read-count agreement, file-size agreement and FASTQ QC evaluation</w:t>
            </w:r>
          </w:p>
        </w:tc>
        <w:tc>
          <w:tcPr>
            <w:tcW w:type="dxa" w:w="1656"/>
            <w:vAlign w:val="center"/>
          </w:tcPr>
          <w:p>
            <w:pPr>
              <w:spacing w:after="30"/>
            </w:pPr>
            <w:r>
              <w:rPr>
                <w:sz w:val="16"/>
              </w:rPr>
            </w:r>
            <w:r>
              <w:rPr>
                <w:b w:val="0"/>
                <w:sz w:val="16"/>
              </w:rPr>
              <w:t>ENA/SRA public records</w:t>
            </w:r>
          </w:p>
        </w:tc>
      </w:tr>
      <w:tr>
        <w:tc>
          <w:tcPr>
            <w:tcW w:type="dxa" w:w="1656"/>
            <w:vAlign w:val="center"/>
          </w:tcPr>
          <w:p>
            <w:pPr>
              <w:spacing w:after="30"/>
            </w:pPr>
            <w:r>
              <w:rPr>
                <w:sz w:val="16"/>
              </w:rPr>
            </w:r>
            <w:r>
              <w:rPr>
                <w:b w:val="0"/>
                <w:sz w:val="16"/>
              </w:rPr>
              <w:t>Retraction-associated audit case</w:t>
            </w:r>
          </w:p>
        </w:tc>
        <w:tc>
          <w:tcPr>
            <w:tcW w:type="dxa" w:w="1512"/>
            <w:vAlign w:val="center"/>
          </w:tcPr>
          <w:p>
            <w:pPr>
              <w:spacing w:after="30"/>
            </w:pPr>
            <w:r>
              <w:rPr>
                <w:sz w:val="16"/>
              </w:rPr>
            </w:r>
            <w:r>
              <w:rPr>
                <w:b w:val="0"/>
                <w:sz w:val="16"/>
              </w:rPr>
              <w:t>Public paired-end FASTQ record</w:t>
            </w:r>
          </w:p>
        </w:tc>
        <w:tc>
          <w:tcPr>
            <w:tcW w:type="dxa" w:w="2376"/>
            <w:vAlign w:val="center"/>
          </w:tcPr>
          <w:p>
            <w:pPr>
              <w:spacing w:after="30"/>
            </w:pPr>
            <w:r>
              <w:rPr>
                <w:sz w:val="16"/>
              </w:rPr>
            </w:r>
            <w:r>
              <w:rPr>
                <w:b w:val="0"/>
                <w:sz w:val="16"/>
              </w:rPr>
              <w:t>SRR29088443 from SRP508771</w:t>
            </w:r>
          </w:p>
        </w:tc>
        <w:tc>
          <w:tcPr>
            <w:tcW w:type="dxa" w:w="2520"/>
            <w:vAlign w:val="center"/>
          </w:tcPr>
          <w:p>
            <w:pPr>
              <w:spacing w:after="30"/>
            </w:pPr>
            <w:r>
              <w:rPr>
                <w:sz w:val="16"/>
              </w:rPr>
            </w:r>
            <w:r>
              <w:rPr>
                <w:b w:val="0"/>
                <w:sz w:val="16"/>
              </w:rPr>
              <w:t>Boundary-aware source-data audit for a problematic literature record</w:t>
            </w:r>
          </w:p>
        </w:tc>
        <w:tc>
          <w:tcPr>
            <w:tcW w:type="dxa" w:w="1656"/>
            <w:vAlign w:val="center"/>
          </w:tcPr>
          <w:p>
            <w:pPr>
              <w:spacing w:after="30"/>
            </w:pPr>
            <w:r>
              <w:rPr>
                <w:sz w:val="16"/>
              </w:rPr>
            </w:r>
            <w:r>
              <w:rPr>
                <w:b w:val="0"/>
                <w:sz w:val="16"/>
              </w:rPr>
              <w:t>SRA/ENA public record</w:t>
            </w:r>
          </w:p>
        </w:tc>
      </w:tr>
    </w:tbl>
    <w:p/>
    <w:p>
      <w:pPr>
        <w:pStyle w:val="Heading2"/>
      </w:pPr>
      <w:r>
        <w:t>Code Availability</w:t>
      </w:r>
    </w:p>
    <w:p>
      <w:pPr>
        <w:jc w:val="both"/>
      </w:pPr>
      <w:r>
        <w:t>The Research Agent code is currently maintained in the local project repository. Before public distribution, the repository should be released on GitHub with a stable release tag, installation guide, example datasets, environment-check instructions, and a minimal web-interface demonstration. If a hosted website is not feasible before submission, the manuscript should state that the tool is distributed as a local web application that runs on the user's machine.</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 https://doi.org/10.1038/314644a0</w:t>
      </w:r>
    </w:p>
    <w:p>
      <w:pPr>
        <w:ind w:left="360" w:hanging="360"/>
      </w:pPr>
      <w:r>
        <w:t>2. Dabney, J., Meyer, M. &amp; Pääbo, S. Ancient DNA damage. Cold Spring Harb. Perspect. Biol. 5, a012567 (2013). https://doi.org/10.1101/cshperspect.a012567</w:t>
      </w:r>
    </w:p>
    <w:p>
      <w:pPr>
        <w:ind w:left="360" w:hanging="360"/>
      </w:pPr>
      <w:r>
        <w:t>3. Warinner, C., et al. A robust framework for microbial archaeology. Annu. Rev. Genomics Hum. Genet. 18, 321–356 (2017). https://doi.org/10.1146/annurev-genom-091416-035526</w:t>
      </w:r>
    </w:p>
    <w:p>
      <w:pPr>
        <w:ind w:left="360" w:hanging="360"/>
      </w:pPr>
      <w:r>
        <w:t>4. Andrews, S. FastQC: a quality control tool for high throughput sequence data. Babraham Bioinformatics. https://www.bioinformatics.babraham.ac.uk/projects/fastqc/ (accessed 6 July 2026).</w:t>
      </w:r>
    </w:p>
    <w:p>
      <w:pPr>
        <w:ind w:left="360" w:hanging="360"/>
      </w:pPr>
      <w:r>
        <w:t>5. Ewels, P., Magnusson, M., Lundin, S. &amp; Käller, M. MultiQC: summarize analysis results for multiple tools and samples in a single report. Bioinformatics 32, 3047–3048 (2016). https://doi.org/10.1093/bioinformatics/btw354</w:t>
      </w:r>
    </w:p>
    <w:p>
      <w:pPr>
        <w:ind w:left="360" w:hanging="360"/>
      </w:pPr>
      <w:r>
        <w:t>6. Shen, W., Le, S., Li, Y. &amp; Hu, F. SeqKit: a cross-platform and ultrafast toolkit for FASTA/Q file manipulation. PLoS ONE 11, e0163962 (2016). https://doi.org/10.1371/journal.pone.0163962</w:t>
      </w:r>
    </w:p>
    <w:p>
      <w:pPr>
        <w:ind w:left="360" w:hanging="360"/>
      </w:pPr>
      <w:r>
        <w:t>7. Leinonen, R., Sugawara, H. &amp; Shumway, M. The Sequence Read Archive. Nucleic Acids Res. 39, D19–D21 (2011). https://doi.org/10.1093/nar/gkq1019</w:t>
      </w:r>
    </w:p>
    <w:p>
      <w:pPr>
        <w:ind w:left="360" w:hanging="360"/>
      </w:pPr>
      <w:r>
        <w:t>8. O’Cathail, C., et al. The European Nucleotide Archive in 2024. Nucleic Acids Res. 53, D49–D55 (2025). https://doi.org/10.1093/nar/gkae975</w:t>
      </w:r>
    </w:p>
    <w:p>
      <w:pPr>
        <w:ind w:left="360" w:hanging="360"/>
      </w:pPr>
      <w:r>
        <w:t>9. Schubert, M., Lindgreen, S. &amp; Orlando, L. AdapterRemoval v2: rapid adapter trimming, identification, and read merging. BMC Res. Notes 9, 88 (2016). https://doi.org/10.1186/s13104-016-1900-2</w:t>
      </w:r>
    </w:p>
    <w:p>
      <w:pPr>
        <w:ind w:left="360" w:hanging="360"/>
      </w:pPr>
      <w:r>
        <w:t>10. Jónsson, H., Ginolhac, A., Schubert, M., Johnson, P. L. F. &amp; Orlando, L. mapDamage2.0: fast approximate Bayesian estimates of ancient DNA damage parameters. Bioinformatics 29, 1682–1684 (2013). https://doi.org/10.1093/bioinformatics/btt193</w:t>
      </w:r>
    </w:p>
    <w:p>
      <w:pPr>
        <w:ind w:left="360" w:hanging="360"/>
      </w:pPr>
      <w:r>
        <w:t>11. Gao, W., Wang, Z., Shi, X., Wu, H., Zhou, B., Lin, X., et al. RETRACTED ARTICLE: Predictable regulation of gut microbiome in immunotherapeutic efficacy of gastric cancer. Genes Immun. 26, 1–8 (2024). https://doi.org/10.1038/s41435-024-00306-2</w:t>
      </w:r>
    </w:p>
    <w:p>
      <w:pPr>
        <w:ind w:left="360" w:hanging="360"/>
      </w:pPr>
      <w:r>
        <w:t>12. Gao, W., Wang, Z., Shi, X., Wu, H., Zhou, B., Lin, X., et al. Retraction Note: Predictable regulation of gut microbiome in immunotherapeutic efficacy of gastric cancer. Genes Immun. 27, 384 (2026). https://doi.org/10.1038/s41435-026-00397-z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