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Klar App Audit und Maßnahmenbericht</w:t>
      </w:r>
    </w:p>
    <w:p>
      <w:r>
        <w:t xml:space="preserve">Stand 27. September 2026. Für Entwicklung, Betrieb und Projektverantwortliche. Gegenstand ist der Kandidat in </w:t>
      </w:r>
      <w:hyperlink r:id="rId9">
        <w:r>
          <w:rPr>
            <w:color w:val="174A6E"/>
          </w:rPr>
          <w:t>PR 51</w:t>
        </w:r>
      </w:hyperlink>
      <w:r>
        <w:t xml:space="preserve"> auf Basis von main a2a37cda1431000101a6e56a25f174e2ff55d065. Dieser Bericht beschreibt geprüfte Codepfade, behobene Fehler und die Voraussetzungen einer belastbaren Betriebsfreigabe.</w:t>
      </w:r>
    </w:p>
    <w:p>
      <w:r/>
      <w:r>
        <w:rPr>
          <w:b/>
        </w:rPr>
        <w:t>Ergebnis:</w:t>
      </w:r>
      <w:r>
        <w:t xml:space="preserve"> Wesentliche Sicherheits-, Datenschutz- und Zuverlässigkeitsfehler wurden im Prüfzweig behoben. Die automatisierten Nachweise stützen eine technische Review-Freigabe. Eine uneingeschränkte Enterprise-, WCAG- oder Compliance-Freigabe ist weiterhin nicht belegt. Produktionsmigration, Cloud-Konfiguration, Wiederherstellung, Lastmessungen und manuelle Barrierefreiheit bleiben Freigabebedingungen. Es wurde keine Produktionsbereitstellung vorgenommen.</w:t>
      </w:r>
    </w:p>
    <w:p>
      <w:pPr>
        <w:pStyle w:val="Heading1"/>
      </w:pPr>
      <w:r>
        <w:t>Umfang und Nachweismethode</w:t>
      </w:r>
    </w:p>
    <w:p>
      <w:r>
        <w:t xml:space="preserve">Das reproduzierbare Inventar erfasst 344 Quellmodule, davon 198 UI-Komponenten, 78 statisch erkannte API-Routen und 87 Testdateien einschließlich Browserdateien und Helfern. Für 71 Module findet der Importgraph direkte Testimporte. Diese Zahl ist keine Testabdeckung; dynamische Aufrufe, indirekte Ausführung, ungenutzte Komponenten und sämtliche Bedienzustände lassen sich daraus nicht bestätigen. Die vollständige Zuordnung steht im </w:t>
      </w:r>
      <w:hyperlink r:id="rId10">
        <w:r>
          <w:rPr>
            <w:color w:val="174A6E"/>
          </w:rPr>
          <w:t>CSV-Inventar</w:t>
        </w:r>
      </w:hyperlink>
      <w:r>
        <w:t xml:space="preserve"> und </w:t>
      </w:r>
      <w:hyperlink r:id="rId11">
        <w:r>
          <w:rPr>
            <w:color w:val="174A6E"/>
          </w:rPr>
          <w:t>JSON-Inventar</w:t>
        </w:r>
      </w:hyperlink>
      <w:r>
        <w:t>.</w:t>
      </w:r>
    </w:p>
    <w:p>
      <w:r>
        <w:t>Die Prüfung kombiniert Quellcode- und Konfigurationsanalyse, Authentifizierungs- und Berechtigungstests, echte Firebase-Emulatoren für Auth, Firestore und Storage, ausgewählte Browserreisen, Typprüfung, Abhängigkeitsprüfung, Bundle-Budget, Produktionsstart und Container-Build. Synthetische Emulatoridentitäten ersetzen keine realen Provider-, Zahlungs- oder Cloud-Betriebsnachweise. Jede Komponente wurde inventarisiert; eine vollständige dynamische Ausführung sämtlicher Komponenten und Zustände wurde nicht erreicht.</w:t>
      </w:r>
    </w:p>
    <w:p>
      <w:pPr>
        <w:pStyle w:val="Heading1"/>
      </w:pPr>
      <w:r>
        <w:t>Automatisierte Ergebnisse</w:t>
      </w:r>
    </w:p>
    <w:p>
      <w:r>
        <w:t xml:space="preserve">Der vollständig erfolgreiche </w:t>
      </w:r>
      <w:hyperlink r:id="rId12">
        <w:r>
          <w:rPr>
            <w:color w:val="174A6E"/>
          </w:rPr>
          <w:t>Enterprise-Lauf 36320935207</w:t>
        </w:r>
      </w:hyperlink>
      <w:r>
        <w:t xml:space="preserve"> prüfte Commit 9ba1a87d526e4d21b7bde2a97aa5a1c1d328954a. Die Suite umfasst 547 Tests in 80 Testdateien, Typprüfung, Sicherheitsprüfungen, Functions-Build mit Regionsprüfung, Produktions-Build, Bundle-Budget, Produktionsrouting und Container-Build. Der zugehörige Dokumentationslauf 36320935276 war erfolgreich.</w:t>
      </w:r>
    </w:p>
    <w:p>
      <w:r>
        <w:t xml:space="preserve">Der </w:t>
      </w:r>
      <w:hyperlink r:id="rId13">
        <w:r>
          <w:rPr>
            <w:color w:val="174A6E"/>
          </w:rPr>
          <w:t>Browserlauf 36320935300</w:t>
        </w:r>
      </w:hyperlink>
      <w:r>
        <w:t xml:space="preserve"> bestätigt 14 erfolgreiche Tests ohne Wiederholung auf derselben Revision. Er enthält den Widerruf von Produktanalyse-Einwilligungen über die Profileinstellungen. Weitere Nachweise und Grenzen stehen im </w:t>
      </w:r>
      <w:hyperlink r:id="rId14">
        <w:r>
          <w:rPr>
            <w:color w:val="174A6E"/>
          </w:rPr>
          <w:t>Prüfnachweis</w:t>
        </w:r>
      </w:hyperlink>
      <w:r>
        <w:t>. Explizite Bucket-Konfiguration, bereinigte Prüfskripte und Dependency-Updates sind in dieser Revision enthalten. Nachfolgende Dokumentationsänderungen erhalten eigene, im PR sichtbare Prüfungen.</w:t>
      </w:r>
    </w:p>
    <w:p>
      <w:r>
        <w:t>Der dokumentierte Prüflauf verwendet Node 22.23.0, Java 21 und exakt Firebase CLI 15.31.0. Lokale ergänzende Prüfungen liefen unter Node 24 und ersetzen diese CI-Nachweise nicht. Frühe fehlgeschlagene Läufe deckten einen uneinheitlichen Storage-Testbucket und eine unzulässige Playwright-Konfiguration auf; beide Ursachen wurden korrigiert. Ein grüner Lauf wird ausschließlich seiner tatsächlich geprüften Revision zugeordnet.</w:t>
      </w:r>
    </w:p>
    <w:p>
      <w:pPr>
        <w:pStyle w:val="Heading1"/>
        <w:pageBreakBefore/>
      </w:pPr>
      <w:r>
        <w:t>Behobene Befunde</w:t>
      </w:r>
    </w:p>
    <w:p>
      <w:r/>
      <w:r>
        <w:rPr>
          <w:b/>
        </w:rPr>
        <w:t>Authentifizierung und private Daten:</w:t>
      </w:r>
      <w:r>
        <w:t xml:space="preserve"> Der Browser fügt Tokens nur derselben Herkunft und echten API-Pfaden hinzu. URLs mit fremder Herkunft, eingebetteten Zugangsdaten oder lediglich ähnlichem Pfad erhalten keinen Token. Ein Konto-Wechsel während des Tokenabrufs verwirft das Ergebnis. Öffentliche Profile und Empfehlungen werden aus einer Feld-Positivliste erzeugt; vollständige Nutzerdokumente werden nicht mehr als öffentliche Profile geschrieben. Für bereits bestehende Dokumente liegt eine gesonderte Migration mit standardmäßigem Probelauf vor.</w:t>
      </w:r>
    </w:p>
    <w:p>
      <w:r/>
      <w:r>
        <w:rPr>
          <w:b/>
        </w:rPr>
        <w:t>Verifizierung und Produktwahrheit:</w:t>
      </w:r>
      <w:r>
        <w:t xml:space="preserve"> Der unsichere Selbstverifizierungspfad ist deaktiviert. Nicht konfigurierte Identitätsanbieter melden keinen erfundenen Erfolg. Die Oberfläche bestätigt Verifizierung nur nach tatsächlichem Serverstatus und zeigt keine pauschalen Verifiziert-Abzeichen. Fotoannahme prüft Format, Dateisignatur und Größe und bestätigt erst nach erfolgreicher Speicherung. Die bisherige generische KI-Bildauswertung wurde aus der manuellen Verifizierung entfernt. Der Audio-Endpunkt liefert vorerst 501; die Aufnahmefunktion ist mit Erklärung deaktiviert, da zuvor eine erfolgreiche Lieferung ohne persistierte Nachricht suggeriert wurde.</w:t>
      </w:r>
    </w:p>
    <w:p>
      <w:r/>
      <w:r>
        <w:rPr>
          <w:b/>
        </w:rPr>
        <w:t>Einwilligung und Analyse:</w:t>
      </w:r>
      <w:r>
        <w:t xml:space="preserve"> Die Analyse-API validiert ein enges Zod-Schema, begrenzt JSON auf 10 KiB und Anfragen auf 30 pro Minute und IP je Prozess. Sie verlangt verifizierte Identität und gesonderte Produktanalyse-Einwilligung. Freie Metadaten und vom Client behauptete Benutzerkennungen sind ausgeschlossen. Fehler liefern nachvollziehbare 400-, 401-, 403-, 429- oder 503-Antworten. Eine neue Einstellung erlaubt den Widerruf optionaler Zwecke und bestätigt erst nach gespeichertem Nachweis. Produktanalyse ist standardmäßig deaktiviert; vor verteilter Aktivierung fehlt ein gemeinsamer Rate-Limit-Speicher.</w:t>
      </w:r>
    </w:p>
    <w:p>
      <w:r/>
      <w:r>
        <w:rPr>
          <w:b/>
        </w:rPr>
        <w:t>Chat und Zahlungen:</w:t>
      </w:r>
      <w:r>
        <w:t xml:space="preserve"> Chat-Routen wurden aus dem großen Servermodul getrennt. Nachrichten und Lesebestätigungen prüfen Mitgliedschaft, beidseitige Sperren und Freigabestatus; Lesebestätigungen verändern nur zulässige Nachrichten des Gegenübers. Texte behalten ihre persistente, idempotente Bestätigung. Stripe erhält den unveränderten Request-Body vor dem allgemeinen JSON-Parser und benötigt für signierte Webhooks keinen Firebase-Login. Der ungesicherte Werbevergütungs-Prototyp vergibt ohne konfigurierten Signaturprüfer keine Guthaben.</w:t>
      </w:r>
    </w:p>
    <w:p>
      <w:r/>
      <w:r>
        <w:rPr>
          <w:b/>
        </w:rPr>
        <w:t>Speicherung und Betrieb:</w:t>
      </w:r>
      <w:r>
        <w:t xml:space="preserve"> Storage-Regeln unterscheiden Erstellen und Aktualisieren von Löschen und behandeln fehlende Ressourcen sicher. Fotoaufbewahrung und Kontolöschung sind durch Unit- und Emulator-Tests ergänzt. Wartungsjobs besitzen explizite Frankfurt-Region, begrenzte Arbeitsmengen, gespeicherte Fortschrittsmarken und Schutz vor konkurrierend ersetzten Dateien. Datenbank-ID und Storage-Bucket sind verpflichtend anzugeben; die App verwendet eine benannte Datenbank. Express-5-Produktionsrouting und geordnetes Herunterfahren wurden repariert. CI ignoriert keine fehlgeschlagenen Sicherheits- oder Testschritte mehr; Versions- und Dokumentationsworkflows schreiben nicht automatisch ungeprüft nach main.</w:t>
      </w:r>
    </w:p>
    <w:p>
      <w:pPr>
        <w:pStyle w:val="Heading1"/>
        <w:pageBreakBefore/>
      </w:pPr>
      <w:r>
        <w:t>Funktionsbewertung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4320"/>
        <w:gridCol w:w="3672"/>
      </w:tblGrid>
      <w:tr>
        <w:trPr>
          <w:cantSplit/>
          <w:tblHeader/>
        </w:trPr>
        <w:tc>
          <w:tcPr>
            <w:tcW w:type="dxa" w:w="2160"/>
            <w:vAlign w:val="center"/>
            <w:shd w:fill="E8EFF3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Bereich</w:t>
            </w:r>
          </w:p>
        </w:tc>
        <w:tc>
          <w:tcPr>
            <w:tcW w:type="dxa" w:w="4320"/>
            <w:vAlign w:val="center"/>
            <w:shd w:fill="E8EFF3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Nachweis im Kandidaten</w:t>
            </w:r>
          </w:p>
        </w:tc>
        <w:tc>
          <w:tcPr>
            <w:tcW w:type="dxa" w:w="3672"/>
            <w:vAlign w:val="center"/>
            <w:shd w:fill="E8EFF3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Verbleibende Grenze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Identität und Onboarding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Gast, Registrierung, Alter, Einwilligung, Fehlerpfad im Browser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Reale OAuth-Anbieter und alle Wiederanlaufzustände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Musik und Empfehlungen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Typen, Genre-Eingabe, Speicherung, Projektion, 30 Prozent Gewichtung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Musik-Icebreaker noch ohne produktiven Coach-Aufrufer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Profil und Datenschutz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Echte Profildaten, Export, Löschkaskade, Widerrufskomponente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Legacy-Migration und reale Löschfristkontrolle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Chat und Sicherheit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Persistenz, Idempotenz, Gate, Mitgliedschaft und Sperren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Audio deaktiviert; vollständige Geräte- und Historienreisen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KI und Verifizierung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Einwilligungsgrenzen, sichere Fehler, keine Anbieter-Scheinerfolge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Reale Anbieterabnahme und verteilte Kostenquoten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Zahlung und Administration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Rollenprüfungen, Webhook-Body und Signaturpfad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Reale Zahlung, Erstattung und Betriebsberechtigungen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UI und Barrierefreiheit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Semantik, Fokushelfer, Kontrast- und ausgewählte Axe-Tests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Alle authentifizierten Ansichten manuell prüfen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Offline und Zusatzwidgets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Inventar und vorhandene Regressionstests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Vollständige Wiederaufnahme und produktive Anbindung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Betrieb und Bereitstellung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Health, Readiness, Container, Bundle und Release-Artefakte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bottom w:w="90" w:type="dxa"/>
              <w:start w:w="90" w:type="dxa"/>
              <w:end w:w="9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Reale Last, Alarmzustellung, Wiederherstellung und Freigabe</w:t>
            </w:r>
          </w:p>
        </w:tc>
      </w:tr>
    </w:tbl>
    <w:p>
      <w:pPr>
        <w:spacing w:after="20"/>
      </w:pPr>
    </w:p>
    <w:p>
      <w:r>
        <w:t>Das Musikdatenmodell und der lokale Kompatibilitätshelfer waren bereits vorhanden. Der aktive Empfehlungsweg wurde ergänzt: Bei beidseitig vorhandenen Musikpräferenzen fließt Musik mit 30 Prozent ein, andernfalls bleibt die bisherige Basisbewertung erhalten. Ein vorhandener Hilfsalgorithmus allein belegt keine produktive KI-Coach-Integration.</w:t>
      </w:r>
    </w:p>
    <w:p>
      <w:pPr>
        <w:pStyle w:val="Heading1"/>
      </w:pPr>
      <w:r>
        <w:t>Offene Issues und Firebase</w:t>
      </w:r>
    </w:p>
    <w:p>
      <w:r>
        <w:t>Die offenen App-Issues #35 bis #38 werden durch Regionsprüfung, Emulator-Isolation, validierte Analyse-API und echte Storage-/Aufbewahrungstests adressiert. Sie werden nicht vor Merge und erforderlichem Betriebsnachweis als abgeschlossen behandelt. Das übergeordnete Verbesserungsprogramm #27 bleibt offen; insbesondere Betrieb, große Bildschirmmodule und verteilte KI-Kostenkontrolle sind nicht vollständig erledigt.</w:t>
      </w:r>
    </w:p>
    <w:p>
      <w:r>
        <w:t xml:space="preserve">Die offizielle </w:t>
      </w:r>
      <w:hyperlink r:id="rId15">
        <w:r>
          <w:rPr>
            <w:color w:val="174A6E"/>
          </w:rPr>
          <w:t>Firebase-Issue-Sammlung</w:t>
        </w:r>
      </w:hyperlink>
      <w:r>
        <w:t xml:space="preserve"> wurde auf konkrete Relevanz geprüft. #11020 betrifft parametrisierte Triggerregionen; explizite Region und Build-Prüfung verhindern eine entsprechende Konfigurationsklasse, beweisen aber keine Cloud-Bereitstellung. #10467 betrifft VPC-Regionen. #11160 und #10518 begründen die Isolation paralleler Emulatorzugriffe; #11124 betrifft einen Emulator-Threadverlust, den ein frischer Prozess pro Lauf begrenzt, aber nicht repariert. #7580 betrifft ältere RTDB-Trigger, #8448 einen Go-Storage-Client; beide sind keine nachgewiesene Fehlerursache dieser TypeScript-App. #7946 ist ein älterer geschlossener Storage-Bericht. Genaue Links und Maßnahmen stehen im </w:t>
      </w:r>
      <w:hyperlink r:id="rId16">
        <w:r>
          <w:rPr>
            <w:color w:val="174A6E"/>
          </w:rPr>
          <w:t>Firebase-Betriebsleitfaden</w:t>
        </w:r>
      </w:hyperlink>
      <w:r>
        <w:t>.</w:t>
      </w:r>
    </w:p>
    <w:p>
      <w:pPr>
        <w:pStyle w:val="Heading1"/>
        <w:pageBreakBefore/>
      </w:pPr>
      <w:r>
        <w:t>Performance und risikokontrollierte TCO</w:t>
      </w:r>
    </w:p>
    <w:p>
      <w:r>
        <w:t>Das bestehende Bundle-Budget wird eingehalten. Der geprüfte Container-Build weist dennoch große komprimierte Einzelstücke aus: Firebase rund 214 kB, Einstieg rund 168 kB und Dashboard rund 133 kB. Diese Buildgrößen sind keine gemessenen mobilen Ladezeiten. Weitere Aufteilung von Dashboard und Profil sowie bedarfsgeladenen Diagramm- und PDF-Funktionen sollte anhand realer Nutzung priorisiert werden; pauschales Anheben des Budgets wäre keine Optimierung.</w:t>
      </w:r>
    </w:p>
    <w:p>
      <w:r>
        <w:t>Begrenzte Wartungsbatches, eine Instanz und Parallelität eins verhindern unkontrollierte Wartungsspitzen. Sie können Rückstände verursachen: tägliche Fotoverarbeitung schafft höchstens 2000 Objekte je Lauf, Analytics-Bereinigung höchstens 400 Dokumente. Eine 30-Tage-Zeitmarke garantiert daher keine sekundengenaue Löschung. Rückstand, ältestes löschbares Objekt und fehlgeschlagene Läufe müssen überwacht werden; vor Aktivierung sind Kapazität oder TTL und eine freigegebene maximale Verzögerung festzulegen.</w:t>
      </w:r>
    </w:p>
    <w:p>
      <w:r>
        <w:t>Kostenentscheidungen benötigen ein gemessenes Modell: Infrastruktur plus Datenbank-Lese-/Schreibvorgänge, Storage, Egress, KI-Aufrufe, Monitoring und Betriebsarbeit. Empfohlen werden Kosten pro aktivem Nutzer und pro erfolgreicher Konversation, ergänzt um p95-Latenz, Fehlerrate und Sicherheitsereignisse. Vor einer Skalierungsfreigabe sind repräsentative synthetische Last, Ratenbegrenzung bei mehreren Instanzen und Rückfallverhalten bei Providerfehlern zu messen. Ohne Nutzungs-, Tarif- und Abrechnungsdaten wird keine Euro-Einsparung behauptet.</w:t>
      </w:r>
    </w:p>
    <w:p>
      <w:pPr>
        <w:pStyle w:val="Heading1"/>
      </w:pPr>
      <w:r>
        <w:t>Sicherheit und Compliance</w:t>
      </w:r>
    </w:p>
    <w:p>
      <w:r>
        <w:t xml:space="preserve">Die geprüfte Ausgangsrevision enthielt sieben moderate Root-Befunde und sechs im Functions-Produktionsgraphen. Das kompatible Update auf Firebase CLI 15.31.0 und Firebase Admin 14.5.0 für Functions reduziert die erneute lokale und CI-Prüfung auf fünf beziehungsweise zwei moderate Befunde, ohne hohe oder kritische Befunde. Verbleibend sind OpenTelemetry im CLI-Pfad sowie gaxios/uuid. Im untersuchten gaxios-Aufruf wird uuid v4 ohne Ausgabepuffer verwendet; das Advisory betrifft v3/v5/v6 mit Puffer. Das begrenzt die beobachtete Erreichbarkeit, ist aber keine allgemeine Risikofreigabe. Der </w:t>
      </w:r>
      <w:hyperlink r:id="rId17">
        <w:r>
          <w:rPr>
            <w:color w:val="174A6E"/>
          </w:rPr>
          <w:t>Dependency-Nachweis</w:t>
        </w:r>
      </w:hyperlink>
      <w:r>
        <w:t xml:space="preserve"> dokumentiert Prüfung und Folgemaßnahmen. Ungeprüfte Overrides und ein vorgeschlagener CLI-Downgrade wurden vermieden.</w:t>
      </w:r>
    </w:p>
    <w:p>
      <w:r>
        <w:t>Der Löschkatalog prüft statisch 33 Sammlungen und unterscheidet Löschpfade von aufbewahrten Nachweisen. Er ist kein Beleg vollständiger Datenlöschung. DSA-, Abrechnungs-, Backup- und Einwilligungsnachweise benötigen freigegebene Fristen, Rollen, Archivierung und Schlüsselrotation. Verifizierungsbilder sind reale personenbezogene Dateien; Aussagen wie „nur Hashes“ oder „keine personenbezogenen Daten“ wären falsch. Historische öffentliche Dokumente sind bis zur geprüften Migration ein eigenständiges Datenschutzrisiko.</w:t>
      </w:r>
    </w:p>
    <w:p>
      <w:r>
        <w:t>Die Branch-API meldete main während des Audits als ungeschützt. Erforderliche Reviews, verpflichtende Prüfungen und geschützte Produktionsumgebungen sind administrativ zu konfigurieren und nachzuweisen. CI-YAML allein richtet diese Kontrollen nicht ein. Produktions-IAM, Backup-Inhalte und reale Datenschutzfreigaben wurden nicht bestätigt.</w:t>
      </w:r>
    </w:p>
    <w:p>
      <w:pPr>
        <w:pStyle w:val="Heading1"/>
        <w:pageBreakBefore/>
      </w:pPr>
      <w:r>
        <w:t>Barrierefreiheit und Betriebsfreigabe</w:t>
      </w:r>
    </w:p>
    <w:p>
      <w:r>
        <w:t xml:space="preserve">Maßstab ist </w:t>
      </w:r>
      <w:hyperlink r:id="rId18">
        <w:r>
          <w:rPr>
            <w:color w:val="174A6E"/>
          </w:rPr>
          <w:t>WCAG 2.2</w:t>
        </w:r>
      </w:hyperlink>
      <w:r>
        <w:t xml:space="preserve"> auf Niveau AA. Automatisierte Prüfungen ergänzen benannte Dialoge, Fokusführung, Statusmeldungen, Tab-Semantik und reduzierte Bewegung. Sie beweisen keine vollständige Konformität. Die Abnahmematrix muss sämtliche wichtigen Zustände mit Tastatur, NVDA/Chrome, VoiceOver/Safari, Vergrößerung, Reflow, Kontrast und Fehlerbehebung erfassen. Besonders kritisch sind Registrierung, Einwilligung, Chat-Gates, Profiländerung, Verifizierung und Kontolöschung.</w:t>
      </w:r>
    </w:p>
    <w:p>
      <w:r>
        <w:t>Priorität P0 vor breiter Freigabe: unabhängiges Review, geschützter Hauptzweig, Bewertung und Migration historischer öffentlicher Daten sowie korrekte Cloud-Datenbank-/Bucket-Zuordnung. Verantwortlich sind Entwicklung und Plattformbetrieb; Nachweis sind freigegebener PR, Schutzkonfiguration und protokollierter Migrations-/Wiederherstellungsversuch.</w:t>
      </w:r>
    </w:p>
    <w:p>
      <w:r>
        <w:t>Priorität P1 vor betroffenen Funktionsaktivierungen: moderaten Dependency-Befunden nachgehen, verteilte Raten- und KI-Budgets umsetzen, reale Provider- und Zahlungsreisen abnehmen sowie manuelle WCAG-Matrix schließen. Verantwortlich sind Entwicklung, Security und Produktverantwortliche. Deaktivierte Funktionen dürfen nicht als vollständig ausgeliefert vermarktet werden.</w:t>
      </w:r>
    </w:p>
    <w:p>
      <w:r>
        <w:t>Priorität P2 für belastbaren Enterprise-Betrieb: SLO-Alarme mit tatsächlicher Zustellung, Backup-Wiederherstellung, Rollback-Übung, Aufbewahrungsüberwachung, Last-/Kostenbasis, Bereitschaftsverantwortung und regelmäßige Berechtigungsprüfung nachweisen. Verantwortlich sind Plattformbetrieb und Datenschutz-/Security-Verantwortliche. Diese Punkte bleiben offen, bis konkrete Betriebsbelege vorliegen; erfolgreiche Code-Tests ersetzen sie nicht.</w:t>
      </w:r>
    </w:p>
    <w:p>
      <w:r>
        <w:t xml:space="preserve">Die nächsten Änderungen müssen denselben Nachweisstandard einhalten: reproduzierbarer Fehler, eng begrenzte Korrektur, geeigneter Regressionstest, aktualisierte Dokumentation und überprüfbare Revision. </w:t>
      </w:r>
      <w:hyperlink r:id="rId19">
        <w:r>
          <w:rPr>
            <w:color w:val="174A6E"/>
          </w:rPr>
          <w:t>Projektstatus</w:t>
        </w:r>
      </w:hyperlink>
      <w:r>
        <w:t xml:space="preserve"> und </w:t>
      </w:r>
      <w:hyperlink r:id="rId20">
        <w:r>
          <w:rPr>
            <w:color w:val="174A6E"/>
          </w:rPr>
          <w:t>Verbesserungsprogramm</w:t>
        </w:r>
      </w:hyperlink>
      <w:r>
        <w:t xml:space="preserve"> führen die offenen Freigaben fort.</w:t>
      </w:r>
    </w:p>
    <w:sectPr w:rsidR="00FC693F" w:rsidRPr="0006063C" w:rsidSect="00034616">
      <w:footerReference w:type="default" r:id="rId2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Klar · Audit 27.09.2026 ·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4" w:lineRule="auto"/>
      <w:outlineLvl w:val="0"/>
    </w:pPr>
    <w:rPr>
      <w:rFonts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4" w:lineRule="auto" w:before="200"/>
      <w:contextualSpacing/>
    </w:pPr>
    <w:rPr>
      <w:rFonts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eselin8606-source/Klar-App/pull/51" TargetMode="External"/><Relationship Id="rId10" Type="http://schemas.openxmlformats.org/officeDocument/2006/relationships/hyperlink" Target="https://github.com/veselin8606-source/Klar-App/blob/fix/audit-2026-09-27/docs/evidence/component-inventory.csv" TargetMode="External"/><Relationship Id="rId11" Type="http://schemas.openxmlformats.org/officeDocument/2006/relationships/hyperlink" Target="https://github.com/veselin8606-source/Klar-App/blob/fix/audit-2026-09-27/docs/evidence/component-inventory.json" TargetMode="External"/><Relationship Id="rId12" Type="http://schemas.openxmlformats.org/officeDocument/2006/relationships/hyperlink" Target="https://github.com/veselin8606-source/Klar-App/actions/runs/36320935207" TargetMode="External"/><Relationship Id="rId13" Type="http://schemas.openxmlformats.org/officeDocument/2006/relationships/hyperlink" Target="https://github.com/veselin8606-source/Klar-App/actions/runs/36320935300" TargetMode="External"/><Relationship Id="rId14" Type="http://schemas.openxmlformats.org/officeDocument/2006/relationships/hyperlink" Target="https://github.com/veselin8606-source/Klar-App/blob/fix/audit-2026-09-27/docs/evidence/audit-2026-09-27.json" TargetMode="External"/><Relationship Id="rId15" Type="http://schemas.openxmlformats.org/officeDocument/2006/relationships/hyperlink" Target="https://github.com/firebase/firebase-tools/issues" TargetMode="External"/><Relationship Id="rId16" Type="http://schemas.openxmlformats.org/officeDocument/2006/relationships/hyperlink" Target="https://github.com/veselin8606-source/Klar-App/blob/fix/audit-2026-09-27/docs/FIREBASE_OPERATIONS.md" TargetMode="External"/><Relationship Id="rId17" Type="http://schemas.openxmlformats.org/officeDocument/2006/relationships/hyperlink" Target="https://github.com/veselin8606-source/Klar-App/blob/fix/audit-2026-09-27/docs/DEPENDENCY_REVIEW_2026-09-27.md" TargetMode="External"/><Relationship Id="rId18" Type="http://schemas.openxmlformats.org/officeDocument/2006/relationships/hyperlink" Target="https://www.w3.org/TR/WCAG22/" TargetMode="External"/><Relationship Id="rId19" Type="http://schemas.openxmlformats.org/officeDocument/2006/relationships/hyperlink" Target="https://github.com/veselin8606-source/Klar-App/blob/fix/audit-2026-09-27/docs/PROJECT_STATUS.md" TargetMode="External"/><Relationship Id="rId20" Type="http://schemas.openxmlformats.org/officeDocument/2006/relationships/hyperlink" Target="https://github.com/veselin8606-source/Klar-App/blob/fix/audit-2026-09-27/docs/IMPROVEMENT_PROGRAM.md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Klar App: Audit und Umsetzung</dc:title>
  <dc:subject>Prüfergebnisse und offene Freigabenachweise vom 27 September 2026</dc:subject>
  <dc:creator>Klar Projekt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