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Klar App Audit September 2026</w:t>
      </w:r>
    </w:p>
    <w:p>
      <w:r>
        <w:t>Die Fortsetzung behebt nachgewiesene Fehler bei Zahlungen, Blockierungen, KI-Kostenkontrolle und Sprachwechseln. Die automatisierten Prüfungen sind erfolgreich; eine vollständige Produktionsfreigabe bleibt wegen der unten aufgeführten Integrations- und Betriebsnachweise offen.</w:t>
      </w:r>
    </w:p>
    <w:p>
      <w:pPr>
        <w:pStyle w:val="Heading1"/>
      </w:pPr>
      <w:r>
        <w:t>Prüfstand und Aussagegrenzen</w:t>
      </w:r>
    </w:p>
    <w:p>
      <w:r>
        <w:t xml:space="preserve">Inkrement in </w:t>
      </w:r>
      <w:hyperlink r:id="rId9">
        <w:r>
          <w:rPr>
            <w:color w:val="174A6E"/>
          </w:rPr>
          <w:t>PR 52</w:t>
        </w:r>
      </w:hyperlink>
      <w:r>
        <w:t xml:space="preserve"> auf feat/global-readiness-2026-09-27, aufbauend auf PR 51 (a91c260e14753de3000f1841da46c66d48447cd8). Main ist weiterhin a2a37cda1431000101a6e56a25f174e2ff55d065. Keine Zusammenführung oder Produktivbereitstellung durch dieses Audit. Der vollständige Modulkatalog und die bisherigen Befunde stehen im </w:t>
      </w:r>
      <w:hyperlink r:id="rId10">
        <w:r>
          <w:rPr>
            <w:color w:val="174A6E"/>
          </w:rPr>
          <w:t>Audit vom 27. September</w:t>
        </w:r>
      </w:hyperlink>
      <w:r>
        <w:t>.</w:t>
      </w:r>
    </w:p>
    <w:p>
      <w:r>
        <w:t xml:space="preserve">Die neu abgefragten offenen App-Issues sind #27 und #35–38. PR 51 enthält Maßnahmen für #35–38; sie bleiben bis zur Abnahme offen. Nicht alle Issues im fremden Repository firebase/firebase-tools betreffen Klar oder lassen sich im App-Code beheben. Die konkrete Zuordnung bleibt in </w:t>
      </w:r>
      <w:hyperlink r:id="rId11">
        <w:r>
          <w:rPr>
            <w:color w:val="174A6E"/>
          </w:rPr>
          <w:t>Firebase Operations</w:t>
        </w:r>
      </w:hyperlink>
      <w:r>
        <w:t xml:space="preserve"> dokumentiert.</w:t>
      </w:r>
    </w:p>
    <w:p>
      <w:pPr>
        <w:pStyle w:val="Heading1"/>
      </w:pPr>
      <w:r>
        <w:t>Testprotokoll</w:t>
      </w:r>
    </w:p>
    <w:p>
      <w:r>
        <w:t>- Lokaler Lauf: 21 Tests in acht gezielten Dateien erfolgreich. HTTP-Grenze für Sprache, URL-Sicherheit, KI-Grenzen, Matching-Beiträge, Sprachwechsel, getrennte Übersetzungsinstanzen und Nachrichtenbedienung.</w:t>
      </w:r>
    </w:p>
    <w:p>
      <w:r>
        <w:t xml:space="preserve">- Lokaler Typecheck und Produktionsbuild erfolgreich. Browser-CI für Code-Commit 7bfceddc0eb49bb06c0575c9f624926050629022: </w:t>
      </w:r>
      <w:hyperlink r:id="rId12">
        <w:r>
          <w:rPr>
            <w:color w:val="174A6E"/>
          </w:rPr>
          <w:t>16 Playwright-Tests erfolgreich</w:t>
        </w:r>
      </w:hyperlink>
      <w:r>
        <w:t xml:space="preserve">, ohne Wiederholungen. </w:t>
      </w:r>
      <w:hyperlink r:id="rId13">
        <w:r>
          <w:rPr>
            <w:color w:val="174A6E"/>
          </w:rPr>
          <w:t>Enterprise-CI 36376282721</w:t>
        </w:r>
      </w:hyperlink>
      <w:r>
        <w:t xml:space="preserve"> erfolgreich: </w:t>
      </w:r>
      <w:r>
        <w:rPr>
          <w:b/>
        </w:rPr>
        <w:t>574 Tests in 88 Vitest-Dateien</w:t>
      </w:r>
      <w:r>
        <w:t xml:space="preserve">, Typprüfung, Sicherheits-/Functions-Prüfungen, Build, Bundle-Budget, Produktionsrouting und Container-Build. </w:t>
      </w:r>
      <w:hyperlink r:id="rId14">
        <w:r>
          <w:rPr>
            <w:color w:val="174A6E"/>
          </w:rPr>
          <w:t>Dokumentations-CI</w:t>
        </w:r>
      </w:hyperlink>
      <w:r>
        <w:t xml:space="preserve"> ebenfalls erfolgreich.</w:t>
      </w:r>
    </w:p>
    <w:p>
      <w:r>
        <w:t>- Ein zusätzlich gestarteter Firestore-Test konnte lokal mangels isolierter Emulator-Laufzeit nicht erfolgreich laufen (uv_interface_addresses/Credential Discovery). Das ist kein bestandener Test. Der vollständige Emulator-Lauf mit Java 21 in CI hat diese Prüflücke anschließend geschlossen.</w:t>
      </w:r>
    </w:p>
    <w:p>
      <w:r>
        <w:t>- Neue Integrationstests: paralleles Nutzer-/Gesamtbudget, gelöschtes Konto, signierte Zahlungsereignisse, Duplikate, Ausfall, unbezahlte Sessions, Kündigung vor Abschluss, Sprachwechsel im Browser.</w:t>
      </w:r>
    </w:p>
    <w:p>
      <w:r>
        <w:t>- Historische PR-51-Evidenz: 547 Vitest-Tests und 14 Playwright-Tests erfolgreich am dort dokumentierten Commit. Diese Zahlen gelten nicht automatisch für dieses Inkrement.</w:t>
      </w:r>
    </w:p>
    <w:p>
      <w:pPr>
        <w:pStyle w:val="Heading1"/>
        <w:pageBreakBefore/>
      </w:pPr>
      <w:r>
        <w:t>Behobene reproduzierbare Fehler</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3456"/>
        <w:gridCol w:w="5270"/>
      </w:tblGrid>
      <w:tr>
        <w:trPr>
          <w:cantSplit/>
          <w:tblHeader/>
        </w:trPr>
        <w:tc>
          <w:tcPr>
            <w:tcW w:type="dxa" w:w="1440"/>
            <w:vAlign w:val="center"/>
            <w:shd w:fill="E8EFF3"/>
            <w:tcMar>
              <w:top w:w="90" w:type="dxa"/>
              <w:bottom w:w="90" w:type="dxa"/>
              <w:start w:w="90" w:type="dxa"/>
              <w:end w:w="90" w:type="dxa"/>
            </w:tcMar>
          </w:tcPr>
          <w:p>
            <w:pPr>
              <w:spacing w:after="40" w:line="252" w:lineRule="auto"/>
            </w:pPr>
            <w:r>
              <w:rPr>
                <w:b/>
                <w:sz w:val="20"/>
              </w:rPr>
              <w:t>Bereich</w:t>
            </w:r>
          </w:p>
        </w:tc>
        <w:tc>
          <w:tcPr>
            <w:tcW w:type="dxa" w:w="3456"/>
            <w:vAlign w:val="center"/>
            <w:shd w:fill="E8EFF3"/>
            <w:tcMar>
              <w:top w:w="90" w:type="dxa"/>
              <w:bottom w:w="90" w:type="dxa"/>
              <w:start w:w="90" w:type="dxa"/>
              <w:end w:w="90" w:type="dxa"/>
            </w:tcMar>
          </w:tcPr>
          <w:p>
            <w:pPr>
              <w:spacing w:after="40" w:line="252" w:lineRule="auto"/>
            </w:pPr>
            <w:r>
              <w:rPr>
                <w:b/>
                <w:sz w:val="20"/>
              </w:rPr>
              <w:t>Befund</w:t>
            </w:r>
          </w:p>
        </w:tc>
        <w:tc>
          <w:tcPr>
            <w:tcW w:type="dxa" w:w="5270"/>
            <w:vAlign w:val="center"/>
            <w:shd w:fill="E8EFF3"/>
            <w:tcMar>
              <w:top w:w="90" w:type="dxa"/>
              <w:bottom w:w="90" w:type="dxa"/>
              <w:start w:w="90" w:type="dxa"/>
              <w:end w:w="90" w:type="dxa"/>
            </w:tcMar>
          </w:tcPr>
          <w:p>
            <w:pPr>
              <w:spacing w:after="40" w:line="252" w:lineRule="auto"/>
            </w:pPr>
            <w:r>
              <w:rPr>
                <w:b/>
                <w:sz w:val="20"/>
              </w:rPr>
              <w:t>Änderung und Nachweis</w:t>
            </w:r>
          </w:p>
        </w:tc>
      </w:tr>
      <w:tr>
        <w:trPr>
          <w:cantSplit/>
        </w:trPr>
        <w:tc>
          <w:tcPr>
            <w:tcW w:type="dxa" w:w="1440"/>
            <w:vAlign w:val="center"/>
            <w:shd w:fill="FFFFFF"/>
            <w:tcMar>
              <w:top w:w="90" w:type="dxa"/>
              <w:bottom w:w="90" w:type="dxa"/>
              <w:start w:w="90" w:type="dxa"/>
              <w:end w:w="90" w:type="dxa"/>
            </w:tcMar>
          </w:tcPr>
          <w:p>
            <w:pPr>
              <w:spacing w:after="40" w:line="252" w:lineRule="auto"/>
            </w:pPr>
            <w:r>
              <w:rPr>
                <w:b w:val="0"/>
                <w:sz w:val="20"/>
              </w:rPr>
              <w:t>Zahlung</w:t>
            </w:r>
          </w:p>
        </w:tc>
        <w:tc>
          <w:tcPr>
            <w:tcW w:type="dxa" w:w="3456"/>
            <w:vAlign w:val="center"/>
            <w:shd w:fill="FFFFFF"/>
            <w:tcMar>
              <w:top w:w="90" w:type="dxa"/>
              <w:bottom w:w="90" w:type="dxa"/>
              <w:start w:w="90" w:type="dxa"/>
              <w:end w:w="90" w:type="dxa"/>
            </w:tcMar>
          </w:tcPr>
          <w:p>
            <w:pPr>
              <w:spacing w:after="40" w:line="252" w:lineRule="auto"/>
            </w:pPr>
            <w:r>
              <w:rPr>
                <w:b w:val="0"/>
                <w:sz w:val="20"/>
              </w:rPr>
              <w:t>Webhook-Empfang wurde vor der Abo-Aktualisierung dauerhaft quittiert; ein Fehler konnte die Leistung dauerhaft verhindern. Falsche Standard-Datenbank.</w:t>
            </w:r>
          </w:p>
        </w:tc>
        <w:tc>
          <w:tcPr>
            <w:tcW w:type="dxa" w:w="5270"/>
            <w:vAlign w:val="center"/>
            <w:shd w:fill="FFFFFF"/>
            <w:tcMar>
              <w:top w:w="90" w:type="dxa"/>
              <w:bottom w:w="90" w:type="dxa"/>
              <w:start w:w="90" w:type="dxa"/>
              <w:end w:w="90" w:type="dxa"/>
            </w:tcMar>
          </w:tcPr>
          <w:p>
            <w:pPr>
              <w:spacing w:after="40" w:line="252" w:lineRule="auto"/>
            </w:pPr>
            <w:r>
              <w:rPr>
                <w:b w:val="0"/>
                <w:sz w:val="20"/>
              </w:rPr>
              <w:t>Gemeinsame Firestore-Transaktion für Berechtigung und Empfangsnachweis, konfigurierte Datenbank aus getDb. Signierte Emulator-Regressionen prüfen Wiederholung und Ausfall.</w:t>
            </w:r>
          </w:p>
        </w:tc>
      </w:tr>
      <w:tr>
        <w:trPr>
          <w:cantSplit/>
        </w:trPr>
        <w:tc>
          <w:tcPr>
            <w:tcW w:type="dxa" w:w="1440"/>
            <w:vAlign w:val="center"/>
            <w:shd w:fill="FFFFFF"/>
            <w:tcMar>
              <w:top w:w="90" w:type="dxa"/>
              <w:bottom w:w="90" w:type="dxa"/>
              <w:start w:w="90" w:type="dxa"/>
              <w:end w:w="90" w:type="dxa"/>
            </w:tcMar>
          </w:tcPr>
          <w:p>
            <w:pPr>
              <w:spacing w:after="40" w:line="252" w:lineRule="auto"/>
            </w:pPr>
            <w:r>
              <w:rPr>
                <w:b w:val="0"/>
                <w:sz w:val="20"/>
              </w:rPr>
              <w:t>Zahlung</w:t>
            </w:r>
          </w:p>
        </w:tc>
        <w:tc>
          <w:tcPr>
            <w:tcW w:type="dxa" w:w="3456"/>
            <w:vAlign w:val="center"/>
            <w:shd w:fill="FFFFFF"/>
            <w:tcMar>
              <w:top w:w="90" w:type="dxa"/>
              <w:bottom w:w="90" w:type="dxa"/>
              <w:start w:w="90" w:type="dxa"/>
              <w:end w:w="90" w:type="dxa"/>
            </w:tcMar>
          </w:tcPr>
          <w:p>
            <w:pPr>
              <w:spacing w:after="40" w:line="252" w:lineRule="auto"/>
            </w:pPr>
            <w:r>
              <w:rPr>
                <w:b w:val="0"/>
                <w:sz w:val="20"/>
              </w:rPr>
              <w:t>Unbezahlte Sessions und verspätete Events konnten Plus aktivieren oder gelöschte Profile neu anlegen.</w:t>
            </w:r>
          </w:p>
        </w:tc>
        <w:tc>
          <w:tcPr>
            <w:tcW w:type="dxa" w:w="5270"/>
            <w:vAlign w:val="center"/>
            <w:shd w:fill="FFFFFF"/>
            <w:tcMar>
              <w:top w:w="90" w:type="dxa"/>
              <w:bottom w:w="90" w:type="dxa"/>
              <w:start w:w="90" w:type="dxa"/>
              <w:end w:w="90" w:type="dxa"/>
            </w:tcMar>
          </w:tcPr>
          <w:p>
            <w:pPr>
              <w:spacing w:after="40" w:line="252" w:lineRule="auto"/>
            </w:pPr>
            <w:r>
              <w:rPr>
                <w:b w:val="0"/>
                <w:sz w:val="20"/>
              </w:rPr>
              <w:t>Nur bezahltes EUR-11,99-Abonnement; vorhandenes Profil erforderlich. Dauerhafter Kündigungsnachweis verhindert Reaktivierung bei vertauschter Event-Reihenfolge.</w:t>
            </w:r>
          </w:p>
        </w:tc>
      </w:tr>
      <w:tr>
        <w:trPr>
          <w:cantSplit/>
        </w:trPr>
        <w:tc>
          <w:tcPr>
            <w:tcW w:type="dxa" w:w="1440"/>
            <w:vAlign w:val="center"/>
            <w:shd w:fill="FFFFFF"/>
            <w:tcMar>
              <w:top w:w="90" w:type="dxa"/>
              <w:bottom w:w="90" w:type="dxa"/>
              <w:start w:w="90" w:type="dxa"/>
              <w:end w:w="90" w:type="dxa"/>
            </w:tcMar>
          </w:tcPr>
          <w:p>
            <w:pPr>
              <w:spacing w:after="40" w:line="252" w:lineRule="auto"/>
            </w:pPr>
            <w:r>
              <w:rPr>
                <w:b w:val="0"/>
                <w:sz w:val="20"/>
              </w:rPr>
              <w:t>Checkout-URLs</w:t>
            </w:r>
          </w:p>
        </w:tc>
        <w:tc>
          <w:tcPr>
            <w:tcW w:type="dxa" w:w="3456"/>
            <w:vAlign w:val="center"/>
            <w:shd w:fill="FFFFFF"/>
            <w:tcMar>
              <w:top w:w="90" w:type="dxa"/>
              <w:bottom w:w="90" w:type="dxa"/>
              <w:start w:w="90" w:type="dxa"/>
              <w:end w:w="90" w:type="dxa"/>
            </w:tcMar>
          </w:tcPr>
          <w:p>
            <w:pPr>
              <w:spacing w:after="40" w:line="252" w:lineRule="auto"/>
            </w:pPr>
            <w:r>
              <w:rPr>
                <w:b w:val="0"/>
                <w:sz w:val="20"/>
              </w:rPr>
              <w:t>Zweites Fragezeichen zerstörte vorhandene Queryparameter; Zugangsdaten in erlaubter URL akzeptiert.</w:t>
            </w:r>
          </w:p>
        </w:tc>
        <w:tc>
          <w:tcPr>
            <w:tcW w:type="dxa" w:w="5270"/>
            <w:vAlign w:val="center"/>
            <w:shd w:fill="FFFFFF"/>
            <w:tcMar>
              <w:top w:w="90" w:type="dxa"/>
              <w:bottom w:w="90" w:type="dxa"/>
              <w:start w:w="90" w:type="dxa"/>
              <w:end w:w="90" w:type="dxa"/>
            </w:tcMar>
          </w:tcPr>
          <w:p>
            <w:pPr>
              <w:spacing w:after="40" w:line="252" w:lineRule="auto"/>
            </w:pPr>
            <w:r>
              <w:rPr>
                <w:b w:val="0"/>
                <w:sz w:val="20"/>
              </w:rPr>
              <w:t>URL-API erhält Query und Fragment; Zugangsdaten werden abgelehnt. Unit-Tests prüfen den tatsächlichen Stripe-Aufruf.</w:t>
            </w:r>
          </w:p>
        </w:tc>
      </w:tr>
      <w:tr>
        <w:trPr>
          <w:cantSplit/>
        </w:trPr>
        <w:tc>
          <w:tcPr>
            <w:tcW w:type="dxa" w:w="1440"/>
            <w:vAlign w:val="center"/>
            <w:shd w:fill="FFFFFF"/>
            <w:tcMar>
              <w:top w:w="90" w:type="dxa"/>
              <w:bottom w:w="90" w:type="dxa"/>
              <w:start w:w="90" w:type="dxa"/>
              <w:end w:w="90" w:type="dxa"/>
            </w:tcMar>
          </w:tcPr>
          <w:p>
            <w:pPr>
              <w:spacing w:after="40" w:line="252" w:lineRule="auto"/>
            </w:pPr>
            <w:r>
              <w:rPr>
                <w:b w:val="0"/>
                <w:sz w:val="20"/>
              </w:rPr>
              <w:t>KI-Kosten</w:t>
            </w:r>
          </w:p>
        </w:tc>
        <w:tc>
          <w:tcPr>
            <w:tcW w:type="dxa" w:w="3456"/>
            <w:vAlign w:val="center"/>
            <w:shd w:fill="FFFFFF"/>
            <w:tcMar>
              <w:top w:w="90" w:type="dxa"/>
              <w:bottom w:w="90" w:type="dxa"/>
              <w:start w:w="90" w:type="dxa"/>
              <w:end w:w="90" w:type="dxa"/>
            </w:tcMar>
          </w:tcPr>
          <w:p>
            <w:pPr>
              <w:spacing w:after="40" w:line="252" w:lineRule="auto"/>
            </w:pPr>
            <w:r>
              <w:rPr>
                <w:b w:val="0"/>
                <w:sz w:val="20"/>
              </w:rPr>
              <w:t>Prozesslokale Grenzen begrenzen mehrere Instanzen nicht gemeinsam; versteckte SDK-Wiederholungen erhöhen Kosten.</w:t>
            </w:r>
          </w:p>
        </w:tc>
        <w:tc>
          <w:tcPr>
            <w:tcW w:type="dxa" w:w="5270"/>
            <w:vAlign w:val="center"/>
            <w:shd w:fill="FFFFFF"/>
            <w:tcMar>
              <w:top w:w="90" w:type="dxa"/>
              <w:bottom w:w="90" w:type="dxa"/>
              <w:start w:w="90" w:type="dxa"/>
              <w:end w:w="90" w:type="dxa"/>
            </w:tcMar>
          </w:tcPr>
          <w:p>
            <w:pPr>
              <w:spacing w:after="40" w:line="252" w:lineRule="auto"/>
            </w:pPr>
            <w:r>
              <w:rPr>
                <w:b w:val="0"/>
                <w:sz w:val="20"/>
              </w:rPr>
              <w:t>Transaktionale tägliche Nutzer- und Gesamtbudgets vor jedem SDK-Versuch; Eingabe-/Ausgabegrenzen, SDK-Retries aus, Timeout/Abbruch. Bei ausgeschöpftem Tagesbudget keine Wiederholung.</w:t>
            </w:r>
          </w:p>
        </w:tc>
      </w:tr>
      <w:tr>
        <w:trPr>
          <w:cantSplit/>
        </w:trPr>
        <w:tc>
          <w:tcPr>
            <w:tcW w:type="dxa" w:w="1440"/>
            <w:vAlign w:val="center"/>
            <w:shd w:fill="FFFFFF"/>
            <w:tcMar>
              <w:top w:w="90" w:type="dxa"/>
              <w:bottom w:w="90" w:type="dxa"/>
              <w:start w:w="90" w:type="dxa"/>
              <w:end w:w="90" w:type="dxa"/>
            </w:tcMar>
          </w:tcPr>
          <w:p>
            <w:pPr>
              <w:spacing w:after="40" w:line="252" w:lineRule="auto"/>
            </w:pPr>
            <w:r>
              <w:rPr>
                <w:b w:val="0"/>
                <w:sz w:val="20"/>
              </w:rPr>
              <w:t>Datenschutz</w:t>
            </w:r>
          </w:p>
        </w:tc>
        <w:tc>
          <w:tcPr>
            <w:tcW w:type="dxa" w:w="3456"/>
            <w:vAlign w:val="center"/>
            <w:shd w:fill="FFFFFF"/>
            <w:tcMar>
              <w:top w:w="90" w:type="dxa"/>
              <w:bottom w:w="90" w:type="dxa"/>
              <w:start w:w="90" w:type="dxa"/>
              <w:end w:w="90" w:type="dxa"/>
            </w:tcMar>
          </w:tcPr>
          <w:p>
            <w:pPr>
              <w:spacing w:after="40" w:line="252" w:lineRule="auto"/>
            </w:pPr>
            <w:r>
              <w:rPr>
                <w:b w:val="0"/>
                <w:sz w:val="20"/>
              </w:rPr>
              <w:t>Neue KI-Budgetdaten benötigen Export und Löschung.</w:t>
            </w:r>
          </w:p>
        </w:tc>
        <w:tc>
          <w:tcPr>
            <w:tcW w:type="dxa" w:w="5270"/>
            <w:vAlign w:val="center"/>
            <w:shd w:fill="FFFFFF"/>
            <w:tcMar>
              <w:top w:w="90" w:type="dxa"/>
              <w:bottom w:w="90" w:type="dxa"/>
              <w:start w:w="90" w:type="dxa"/>
              <w:end w:w="90" w:type="dxa"/>
            </w:tcMar>
          </w:tcPr>
          <w:p>
            <w:pPr>
              <w:spacing w:after="40" w:line="252" w:lineRule="auto"/>
            </w:pPr>
            <w:r>
              <w:rPr>
                <w:b w:val="0"/>
                <w:sz w:val="20"/>
              </w:rPr>
              <w:t>Im Export und Löschkatalog enthalten. Budgetreservierungen lesen das Elternprofil transaktional; Budgetbereinigung erfolgt nach dessen Löschung.</w:t>
            </w:r>
          </w:p>
        </w:tc>
      </w:tr>
      <w:tr>
        <w:trPr>
          <w:cantSplit/>
        </w:trPr>
        <w:tc>
          <w:tcPr>
            <w:tcW w:type="dxa" w:w="1440"/>
            <w:vAlign w:val="center"/>
            <w:shd w:fill="FFFFFF"/>
            <w:tcMar>
              <w:top w:w="90" w:type="dxa"/>
              <w:bottom w:w="90" w:type="dxa"/>
              <w:start w:w="90" w:type="dxa"/>
              <w:end w:w="90" w:type="dxa"/>
            </w:tcMar>
          </w:tcPr>
          <w:p>
            <w:pPr>
              <w:spacing w:after="40" w:line="252" w:lineRule="auto"/>
            </w:pPr>
            <w:r>
              <w:rPr>
                <w:b w:val="0"/>
                <w:sz w:val="20"/>
              </w:rPr>
              <w:t>Vorschläge</w:t>
            </w:r>
          </w:p>
        </w:tc>
        <w:tc>
          <w:tcPr>
            <w:tcW w:type="dxa" w:w="3456"/>
            <w:vAlign w:val="center"/>
            <w:shd w:fill="FFFFFF"/>
            <w:tcMar>
              <w:top w:w="90" w:type="dxa"/>
              <w:bottom w:w="90" w:type="dxa"/>
              <w:start w:w="90" w:type="dxa"/>
              <w:end w:w="90" w:type="dxa"/>
            </w:tcMar>
          </w:tcPr>
          <w:p>
            <w:pPr>
              <w:spacing w:after="40" w:line="252" w:lineRule="auto"/>
            </w:pPr>
            <w:r>
              <w:rPr>
                <w:b w:val="0"/>
                <w:sz w:val="20"/>
              </w:rPr>
              <w:t>Nach den ersten 100 Blockierungen konnten gesperrte Profile wieder erscheinen.</w:t>
            </w:r>
          </w:p>
        </w:tc>
        <w:tc>
          <w:tcPr>
            <w:tcW w:type="dxa" w:w="5270"/>
            <w:vAlign w:val="center"/>
            <w:shd w:fill="FFFFFF"/>
            <w:tcMar>
              <w:top w:w="90" w:type="dxa"/>
              <w:bottom w:w="90" w:type="dxa"/>
              <w:start w:w="90" w:type="dxa"/>
              <w:end w:w="90" w:type="dxa"/>
            </w:tcMar>
          </w:tcPr>
          <w:p>
            <w:pPr>
              <w:spacing w:after="40" w:line="252" w:lineRule="auto"/>
            </w:pPr>
            <w:r>
              <w:rPr>
                <w:b w:val="0"/>
                <w:sz w:val="20"/>
              </w:rPr>
              <w:t>Vollständige paginierte Ausschlusslisten in beiden Richtungen; bei überschrittenem Scan-Budget Fehler statt unvollständig geprüfter Empfehlungen. Emulator-Test mit 202 Einträgen je Richtung.</w:t>
            </w:r>
          </w:p>
        </w:tc>
      </w:tr>
      <w:tr>
        <w:trPr>
          <w:cantSplit/>
        </w:trPr>
        <w:tc>
          <w:tcPr>
            <w:tcW w:type="dxa" w:w="1440"/>
            <w:vAlign w:val="center"/>
            <w:shd w:fill="FFFFFF"/>
            <w:tcMar>
              <w:top w:w="90" w:type="dxa"/>
              <w:bottom w:w="90" w:type="dxa"/>
              <w:start w:w="90" w:type="dxa"/>
              <w:end w:w="90" w:type="dxa"/>
            </w:tcMar>
          </w:tcPr>
          <w:p>
            <w:pPr>
              <w:spacing w:after="40" w:line="252" w:lineRule="auto"/>
            </w:pPr>
            <w:r>
              <w:rPr>
                <w:b w:val="0"/>
                <w:sz w:val="20"/>
              </w:rPr>
              <w:t>Matching</w:t>
            </w:r>
          </w:p>
        </w:tc>
        <w:tc>
          <w:tcPr>
            <w:tcW w:type="dxa" w:w="3456"/>
            <w:vAlign w:val="center"/>
            <w:shd w:fill="FFFFFF"/>
            <w:tcMar>
              <w:top w:w="90" w:type="dxa"/>
              <w:bottom w:w="90" w:type="dxa"/>
              <w:start w:w="90" w:type="dxa"/>
              <w:end w:w="90" w:type="dxa"/>
            </w:tcMar>
          </w:tcPr>
          <w:p>
            <w:pPr>
              <w:spacing w:after="40" w:line="252" w:lineRule="auto"/>
            </w:pPr>
            <w:r>
              <w:rPr>
                <w:b w:val="0"/>
                <w:sz w:val="20"/>
              </w:rPr>
              <w:t>KI konnte eine Gemeinsamkeit erklären, obwohl keine belegt war. Zwei einzelne Distanzangaben wurden fälschlich zur Paarentfernung verrechnet.</w:t>
            </w:r>
          </w:p>
        </w:tc>
        <w:tc>
          <w:tcPr>
            <w:tcW w:type="dxa" w:w="5270"/>
            <w:vAlign w:val="center"/>
            <w:shd w:fill="FFFFFF"/>
            <w:tcMar>
              <w:top w:w="90" w:type="dxa"/>
              <w:bottom w:w="90" w:type="dxa"/>
              <w:start w:w="90" w:type="dxa"/>
              <w:end w:w="90" w:type="dxa"/>
            </w:tcMar>
          </w:tcPr>
          <w:p>
            <w:pPr>
              <w:spacing w:after="40" w:line="252" w:lineRule="auto"/>
            </w:pPr>
            <w:r>
              <w:rPr>
                <w:b w:val="0"/>
                <w:sz w:val="20"/>
              </w:rPr>
              <w:t>Deterministische Erklärung mit Dimensionen, Beiträgen und Datenabdeckung. Kein KI-Aufruf für Erklärungen. Unbelegte Distanzkomponente entfernt.</w:t>
            </w:r>
          </w:p>
        </w:tc>
      </w:tr>
      <w:tr>
        <w:trPr>
          <w:cantSplit/>
        </w:trPr>
        <w:tc>
          <w:tcPr>
            <w:tcW w:type="dxa" w:w="1440"/>
            <w:vAlign w:val="center"/>
            <w:shd w:fill="FFFFFF"/>
            <w:tcMar>
              <w:top w:w="90" w:type="dxa"/>
              <w:bottom w:w="90" w:type="dxa"/>
              <w:start w:w="90" w:type="dxa"/>
              <w:end w:w="90" w:type="dxa"/>
            </w:tcMar>
          </w:tcPr>
          <w:p>
            <w:pPr>
              <w:spacing w:after="40" w:line="252" w:lineRule="auto"/>
            </w:pPr>
            <w:r>
              <w:rPr>
                <w:b w:val="0"/>
                <w:sz w:val="20"/>
              </w:rPr>
              <w:t>Sprache</w:t>
            </w:r>
          </w:p>
        </w:tc>
        <w:tc>
          <w:tcPr>
            <w:tcW w:type="dxa" w:w="3456"/>
            <w:vAlign w:val="center"/>
            <w:shd w:fill="FFFFFF"/>
            <w:tcMar>
              <w:top w:w="90" w:type="dxa"/>
              <w:bottom w:w="90" w:type="dxa"/>
              <w:start w:w="90" w:type="dxa"/>
              <w:end w:w="90" w:type="dxa"/>
            </w:tcMar>
          </w:tcPr>
          <w:p>
            <w:pPr>
              <w:spacing w:after="40" w:line="252" w:lineRule="auto"/>
            </w:pPr>
            <w:r>
              <w:rPr>
                <w:b w:val="0"/>
                <w:sz w:val="20"/>
              </w:rPr>
              <w:t>Einstellungen waren nicht durchgängig typsicher oder im Profil persistiert.</w:t>
            </w:r>
          </w:p>
        </w:tc>
        <w:tc>
          <w:tcPr>
            <w:tcW w:type="dxa" w:w="5270"/>
            <w:vAlign w:val="center"/>
            <w:shd w:fill="FFFFFF"/>
            <w:tcMar>
              <w:top w:w="90" w:type="dxa"/>
              <w:bottom w:w="90" w:type="dxa"/>
              <w:start w:w="90" w:type="dxa"/>
              <w:end w:w="90" w:type="dxa"/>
            </w:tcMar>
          </w:tcPr>
          <w:p>
            <w:pPr>
              <w:spacing w:after="40" w:line="252" w:lineRule="auto"/>
            </w:pPr>
            <w:r>
              <w:rPr>
                <w:b w:val="0"/>
                <w:sz w:val="20"/>
              </w:rPr>
              <w:t>Strikte Übersetzungsschlüssel, vier konsistente Kataloge, native Sprachauswahl, Dokument-Lang, lokaler Speicher und authentifizierte Profil-API. Login übersetzt.</w:t>
            </w:r>
          </w:p>
        </w:tc>
      </w:tr>
      <w:tr>
        <w:trPr>
          <w:cantSplit/>
        </w:trPr>
        <w:tc>
          <w:tcPr>
            <w:tcW w:type="dxa" w:w="1440"/>
            <w:vAlign w:val="center"/>
            <w:shd w:fill="FFFFFF"/>
            <w:tcMar>
              <w:top w:w="90" w:type="dxa"/>
              <w:bottom w:w="90" w:type="dxa"/>
              <w:start w:w="90" w:type="dxa"/>
              <w:end w:w="90" w:type="dxa"/>
            </w:tcMar>
          </w:tcPr>
          <w:p>
            <w:pPr>
              <w:spacing w:after="40" w:line="252" w:lineRule="auto"/>
            </w:pPr>
            <w:r>
              <w:rPr>
                <w:b w:val="0"/>
                <w:sz w:val="20"/>
              </w:rPr>
              <w:t>Chat-Bedienung</w:t>
            </w:r>
          </w:p>
        </w:tc>
        <w:tc>
          <w:tcPr>
            <w:tcW w:type="dxa" w:w="3456"/>
            <w:vAlign w:val="center"/>
            <w:shd w:fill="FFFFFF"/>
            <w:tcMar>
              <w:top w:w="90" w:type="dxa"/>
              <w:bottom w:w="90" w:type="dxa"/>
              <w:start w:w="90" w:type="dxa"/>
              <w:end w:w="90" w:type="dxa"/>
            </w:tcMar>
          </w:tcPr>
          <w:p>
            <w:pPr>
              <w:spacing w:after="40" w:line="252" w:lineRule="auto"/>
            </w:pPr>
            <w:r>
              <w:rPr>
                <w:b w:val="0"/>
                <w:sz w:val="20"/>
              </w:rPr>
              <w:t>Nicht standardkonforme Textrolle und interaktive Nachrichtenblase mit möglichen verschachtelten Audiokontrollen.</w:t>
            </w:r>
          </w:p>
        </w:tc>
        <w:tc>
          <w:tcPr>
            <w:tcW w:type="dxa" w:w="5270"/>
            <w:vAlign w:val="center"/>
            <w:shd w:fill="FFFFFF"/>
            <w:tcMar>
              <w:top w:w="90" w:type="dxa"/>
              <w:bottom w:w="90" w:type="dxa"/>
              <w:start w:w="90" w:type="dxa"/>
              <w:end w:w="90" w:type="dxa"/>
            </w:tcMar>
          </w:tcPr>
          <w:p>
            <w:pPr>
              <w:spacing w:after="40" w:line="252" w:lineRule="auto"/>
            </w:pPr>
            <w:r>
              <w:rPr>
                <w:b w:val="0"/>
                <w:sz w:val="20"/>
              </w:rPr>
              <w:t>Eigenständiger nativer Übersetzungsbutton mit Zustandsangabe; lokalisierte Chattexte und Zeitformatierung, ungültige Zeitstempel unterdrückt.</w:t>
            </w:r>
          </w:p>
        </w:tc>
      </w:tr>
    </w:tbl>
    <w:p>
      <w:pPr>
        <w:spacing w:after="20"/>
      </w:pPr>
    </w:p>
    <w:p>
      <w:pPr>
        <w:pStyle w:val="Heading1"/>
        <w:pageBreakBefore/>
      </w:pPr>
      <w:r>
        <w:t>Betrieb und TCO</w:t>
      </w:r>
    </w:p>
    <w:p>
      <w:r>
        <w:t>Der aktualisierte statische Katalog erfasst 348 Quellmodule, 198 Komponentenmodule, 79 API-Routen und 96 Testdateien einschließlich Hilfsdateien. 76 Module werden direkt von Tests importiert; dies ist keine Aussage über Laufzeit- oder Zweigabdeckung.</w:t>
      </w:r>
    </w:p>
    <w:p>
      <w:r>
        <w:t>Lokaler Produktionsbuild: initiales JavaScript 437.056 Byte gzip (Grenze 470.000), CSS 25.973 Byte gzip (Grenze 29.000), gesamtes JavaScript 1.190.280 Byte gzip (Grenze 1.280.000). Die Grenzen wurden nicht angehoben. Die CI misst 437.042 Byte initiales JavaScript gzip; die geringe Abweichung entsteht zwischen den Laufzeitumgebungen. Sub-Second-Rendering, Core Web Vitals auf Mobilgeräten sowie p95/p99 unter Produktionslast sind damit nicht nachgewiesen.</w:t>
      </w:r>
    </w:p>
    <w:p>
      <w:r>
        <w:t xml:space="preserve">KI-Reservierungen zählen konservative </w:t>
      </w:r>
      <w:r>
        <w:rPr>
          <w:b/>
        </w:rPr>
        <w:t>Budgeteinheiten</w:t>
      </w:r>
      <w:r>
        <w:t>, keine nachträglich gemessenen Token oder Euro. Voreinstellungen: Gast 20.000, Konto 200.000, Gesamt 2.000.000 pro UTC-Tag. Variablen: AI_GUEST_DAILY_UNITS, AI_USER_DAILY_UNITS, AI_GLOBAL_DAILY_UNITS. Pro Aufruf höchstens 64 KiB serialisierte Parameter, 256 Ausgabetoken für Icebreaker/Opening/Quick Insight, 1.024 für Übersetzung, sonst 2.048; kleinere Grenzen bleiben erhalten. Ein SDK-Versuch, HTTP-Zeitlimit 15 Sekunden. Ungewisse Timeout-Kosten werden nicht erstattet. Medienkosten und Modellpreise sind damit nicht vollständig monetär begrenzt.</w:t>
      </w:r>
    </w:p>
    <w:p>
      <w:r>
        <w:t>Die globale Budgetzeile ist absichtlich ein konsistenter Zähler: drei Dokumentlesevorgänge und zwei Schreibvorgänge pro erfolgreicher Reservierung zuzüglich Transaktionswiederholungen. Firestore-Ausfall oder Konflikt verhindert den KI-Aufruf. Produktionslast und Hotspot-Durchsatz müssen gemessen werden, bevor Limits erhöht oder weitere Instanzen aktiviert werden. Cloud-Billing-Budgets/Alerts sind zusätzlich nötig. Die Entfernung der KI-Matching-Erklärung spart einen Provider-Aufruf pro Erklärung.</w:t>
      </w:r>
    </w:p>
    <w:p>
      <w:r>
        <w:t>expiresAt an Budgetdokumenten allein löscht nichts. Für die Collection Groups ai_budget und system muss eine geprüfte TTL-Richtlinie bzw. ein begrenzter Bereinigungsjob aktiviert und dessen Lauf überwacht werden. system enthält auch andere Betriebsdokumente: vor TTL-Aktivierung vorhandene expiresAt-Verwendung prüfen. Ohne diesen Nachweis ist eine 30-Tage-Löschgarantie nicht gegeben. Kündigungs- und Webhook-Nachweise dürfen nicht unkoordiniert gelöscht werden, sonst entfällt der Schutz gegen verspätete Ereignisse. Aufbewahrungs- und Zahlungsabgleich fachlich festlegen.</w:t>
      </w:r>
    </w:p>
    <w:p>
      <w:r>
        <w:t xml:space="preserve">Abhängigkeiten: CI meldet fünf moderate Befunde im Gesamtprojekt, davon zwei in Produktionsabhängigkeiten; Functions melden zwei moderate Befunde. Die High-/Critical-Gates sind erfolgreich. Die verbliebenen Befunde und zulässigen Updatewege stehen in der </w:t>
      </w:r>
      <w:hyperlink r:id="rId15">
        <w:r>
          <w:rPr>
            <w:color w:val="174A6E"/>
          </w:rPr>
          <w:t>Dependency-Prüfung</w:t>
        </w:r>
      </w:hyperlink>
      <w:r>
        <w:t>; grüne Gates bedeuten nicht null Risiken.</w:t>
      </w:r>
    </w:p>
    <w:p>
      <w:pPr>
        <w:pStyle w:val="Heading1"/>
        <w:pageBreakBefore/>
      </w:pPr>
      <w:r>
        <w:t>Offene Phasen und Freigabekriterien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64"/>
        <w:gridCol w:w="3096"/>
        <w:gridCol w:w="6206"/>
      </w:tblGrid>
      <w:tr>
        <w:trPr>
          <w:cantSplit/>
          <w:tblHeader/>
        </w:trPr>
        <w:tc>
          <w:tcPr>
            <w:tcW w:type="dxa" w:w="864"/>
            <w:vAlign w:val="center"/>
            <w:shd w:fill="E8EFF3"/>
            <w:tcMar>
              <w:top w:w="90" w:type="dxa"/>
              <w:bottom w:w="90" w:type="dxa"/>
              <w:start w:w="90" w:type="dxa"/>
              <w:end w:w="90" w:type="dxa"/>
            </w:tcMar>
          </w:tcPr>
          <w:p>
            <w:pPr>
              <w:spacing w:after="40" w:line="252" w:lineRule="auto"/>
            </w:pPr>
            <w:r>
              <w:rPr>
                <w:b/>
                <w:sz w:val="20"/>
              </w:rPr>
              <w:t>Prio</w:t>
            </w:r>
          </w:p>
        </w:tc>
        <w:tc>
          <w:tcPr>
            <w:tcW w:type="dxa" w:w="3096"/>
            <w:vAlign w:val="center"/>
            <w:shd w:fill="E8EFF3"/>
            <w:tcMar>
              <w:top w:w="90" w:type="dxa"/>
              <w:bottom w:w="90" w:type="dxa"/>
              <w:start w:w="90" w:type="dxa"/>
              <w:end w:w="90" w:type="dxa"/>
            </w:tcMar>
          </w:tcPr>
          <w:p>
            <w:pPr>
              <w:spacing w:after="40" w:line="252" w:lineRule="auto"/>
            </w:pPr>
            <w:r>
              <w:rPr>
                <w:b/>
                <w:sz w:val="20"/>
              </w:rPr>
              <w:t>Offener Punkt</w:t>
            </w:r>
          </w:p>
        </w:tc>
        <w:tc>
          <w:tcPr>
            <w:tcW w:type="dxa" w:w="6206"/>
            <w:vAlign w:val="center"/>
            <w:shd w:fill="E8EFF3"/>
            <w:tcMar>
              <w:top w:w="90" w:type="dxa"/>
              <w:bottom w:w="90" w:type="dxa"/>
              <w:start w:w="90" w:type="dxa"/>
              <w:end w:w="90" w:type="dxa"/>
            </w:tcMar>
          </w:tcPr>
          <w:p>
            <w:pPr>
              <w:spacing w:after="40" w:line="252" w:lineRule="auto"/>
            </w:pPr>
            <w:r>
              <w:rPr>
                <w:b/>
                <w:sz w:val="20"/>
              </w:rPr>
              <w:t>Erforderlicher Nachweis</w:t>
            </w:r>
          </w:p>
        </w:tc>
      </w:tr>
      <w:tr>
        <w:trPr>
          <w:cantSplit/>
        </w:trPr>
        <w:tc>
          <w:tcPr>
            <w:tcW w:type="dxa" w:w="864"/>
            <w:vAlign w:val="center"/>
            <w:shd w:fill="FFFFFF"/>
            <w:tcMar>
              <w:top w:w="90" w:type="dxa"/>
              <w:bottom w:w="90" w:type="dxa"/>
              <w:start w:w="90" w:type="dxa"/>
              <w:end w:w="90" w:type="dxa"/>
            </w:tcMar>
          </w:tcPr>
          <w:p>
            <w:pPr>
              <w:spacing w:after="40" w:line="252" w:lineRule="auto"/>
            </w:pPr>
            <w:r>
              <w:rPr>
                <w:b w:val="0"/>
                <w:sz w:val="20"/>
              </w:rPr>
              <w:t>P1</w:t>
            </w:r>
          </w:p>
        </w:tc>
        <w:tc>
          <w:tcPr>
            <w:tcW w:type="dxa" w:w="3096"/>
            <w:vAlign w:val="center"/>
            <w:shd w:fill="FFFFFF"/>
            <w:tcMar>
              <w:top w:w="90" w:type="dxa"/>
              <w:bottom w:w="90" w:type="dxa"/>
              <w:start w:w="90" w:type="dxa"/>
              <w:end w:w="90" w:type="dxa"/>
            </w:tcMar>
          </w:tcPr>
          <w:p>
            <w:pPr>
              <w:spacing w:after="40" w:line="252" w:lineRule="auto"/>
            </w:pPr>
            <w:r>
              <w:rPr>
                <w:b w:val="0"/>
                <w:sz w:val="20"/>
              </w:rPr>
              <w:t>Vollständige i18n-Migration</w:t>
            </w:r>
          </w:p>
        </w:tc>
        <w:tc>
          <w:tcPr>
            <w:tcW w:type="dxa" w:w="6206"/>
            <w:vAlign w:val="center"/>
            <w:shd w:fill="FFFFFF"/>
            <w:tcMar>
              <w:top w:w="90" w:type="dxa"/>
              <w:bottom w:w="90" w:type="dxa"/>
              <w:start w:w="90" w:type="dxa"/>
              <w:end w:w="90" w:type="dxa"/>
            </w:tcMar>
          </w:tcPr>
          <w:p>
            <w:pPr>
              <w:spacing w:after="40" w:line="252" w:lineRule="auto"/>
            </w:pPr>
            <w:r>
              <w:rPr>
                <w:b w:val="0"/>
                <w:sz w:val="20"/>
              </w:rPr>
              <w:t>Inventar enthielt initial 1.576 JSX-Textstellen in 199 Dateien; Katalogparität ersetzt keine Migration. Onboarding, Profil, Checkout und weitere Fachmodule schrittweise übersetzen und sprachlich prüfen.</w:t>
            </w:r>
          </w:p>
        </w:tc>
      </w:tr>
      <w:tr>
        <w:trPr>
          <w:cantSplit/>
        </w:trPr>
        <w:tc>
          <w:tcPr>
            <w:tcW w:type="dxa" w:w="864"/>
            <w:vAlign w:val="center"/>
            <w:shd w:fill="FFFFFF"/>
            <w:tcMar>
              <w:top w:w="90" w:type="dxa"/>
              <w:bottom w:w="90" w:type="dxa"/>
              <w:start w:w="90" w:type="dxa"/>
              <w:end w:w="90" w:type="dxa"/>
            </w:tcMar>
          </w:tcPr>
          <w:p>
            <w:pPr>
              <w:spacing w:after="40" w:line="252" w:lineRule="auto"/>
            </w:pPr>
            <w:r>
              <w:rPr>
                <w:b w:val="0"/>
                <w:sz w:val="20"/>
              </w:rPr>
              <w:t>P1</w:t>
            </w:r>
          </w:p>
        </w:tc>
        <w:tc>
          <w:tcPr>
            <w:tcW w:type="dxa" w:w="3096"/>
            <w:vAlign w:val="center"/>
            <w:shd w:fill="FFFFFF"/>
            <w:tcMar>
              <w:top w:w="90" w:type="dxa"/>
              <w:bottom w:w="90" w:type="dxa"/>
              <w:start w:w="90" w:type="dxa"/>
              <w:end w:w="90" w:type="dxa"/>
            </w:tcMar>
          </w:tcPr>
          <w:p>
            <w:pPr>
              <w:spacing w:after="40" w:line="252" w:lineRule="auto"/>
            </w:pPr>
            <w:r>
              <w:rPr>
                <w:b w:val="0"/>
                <w:sz w:val="20"/>
              </w:rPr>
              <w:t>Zahlungslifecycle und Coin-Checkout</w:t>
            </w:r>
          </w:p>
        </w:tc>
        <w:tc>
          <w:tcPr>
            <w:tcW w:type="dxa" w:w="6206"/>
            <w:vAlign w:val="center"/>
            <w:shd w:fill="FFFFFF"/>
            <w:tcMar>
              <w:top w:w="90" w:type="dxa"/>
              <w:bottom w:w="90" w:type="dxa"/>
              <w:start w:w="90" w:type="dxa"/>
              <w:end w:w="90" w:type="dxa"/>
            </w:tcMar>
          </w:tcPr>
          <w:p>
            <w:pPr>
              <w:spacing w:after="40" w:line="252" w:lineRule="auto"/>
            </w:pPr>
            <w:r>
              <w:rPr>
                <w:b w:val="0"/>
                <w:sz w:val="20"/>
              </w:rPr>
              <w:t>Dieses Inkrement härtet Klar+-Abos. Coin-Verkauf, wiederkehrende Rechnungen, Zahlungsausfall, Erstattung, mehrere parallele Abos und Steuerbehandlung sind nicht vollständig abgenommen. Stripe-Testmodus und Produktivkonfiguration gesondert prüfen.</w:t>
            </w:r>
          </w:p>
        </w:tc>
      </w:tr>
      <w:tr>
        <w:trPr>
          <w:cantSplit/>
        </w:trPr>
        <w:tc>
          <w:tcPr>
            <w:tcW w:type="dxa" w:w="864"/>
            <w:vAlign w:val="center"/>
            <w:shd w:fill="FFFFFF"/>
            <w:tcMar>
              <w:top w:w="90" w:type="dxa"/>
              <w:bottom w:w="90" w:type="dxa"/>
              <w:start w:w="90" w:type="dxa"/>
              <w:end w:w="90" w:type="dxa"/>
            </w:tcMar>
          </w:tcPr>
          <w:p>
            <w:pPr>
              <w:spacing w:after="40" w:line="252" w:lineRule="auto"/>
            </w:pPr>
            <w:r>
              <w:rPr>
                <w:b w:val="0"/>
                <w:sz w:val="20"/>
              </w:rPr>
              <w:t>P1</w:t>
            </w:r>
          </w:p>
        </w:tc>
        <w:tc>
          <w:tcPr>
            <w:tcW w:type="dxa" w:w="3096"/>
            <w:vAlign w:val="center"/>
            <w:shd w:fill="FFFFFF"/>
            <w:tcMar>
              <w:top w:w="90" w:type="dxa"/>
              <w:bottom w:w="90" w:type="dxa"/>
              <w:start w:w="90" w:type="dxa"/>
              <w:end w:w="90" w:type="dxa"/>
            </w:tcMar>
          </w:tcPr>
          <w:p>
            <w:pPr>
              <w:spacing w:after="40" w:line="252" w:lineRule="auto"/>
            </w:pPr>
            <w:r>
              <w:rPr>
                <w:b w:val="0"/>
                <w:sz w:val="20"/>
              </w:rPr>
              <w:t>Kontolöschung unter gleichzeitigem Schreiben</w:t>
            </w:r>
          </w:p>
        </w:tc>
        <w:tc>
          <w:tcPr>
            <w:tcW w:type="dxa" w:w="6206"/>
            <w:vAlign w:val="center"/>
            <w:shd w:fill="FFFFFF"/>
            <w:tcMar>
              <w:top w:w="90" w:type="dxa"/>
              <w:bottom w:w="90" w:type="dxa"/>
              <w:start w:w="90" w:type="dxa"/>
              <w:end w:w="90" w:type="dxa"/>
            </w:tcMar>
          </w:tcPr>
          <w:p>
            <w:pPr>
              <w:spacing w:after="40" w:line="252" w:lineRule="auto"/>
            </w:pPr>
            <w:r>
              <w:rPr>
                <w:b w:val="0"/>
                <w:sz w:val="20"/>
              </w:rPr>
              <w:t>Neue Budget- und Stripe-Pfade sind abgesichert. Andere Bestandsendpunkte können Profile weiterhin mit Merge neu anlegen; globaler Deletion-State mit Token-Sperre und resumierbarer Löschorchestrierung bleibt erforderlich.</w:t>
            </w:r>
          </w:p>
        </w:tc>
      </w:tr>
      <w:tr>
        <w:trPr>
          <w:cantSplit/>
        </w:trPr>
        <w:tc>
          <w:tcPr>
            <w:tcW w:type="dxa" w:w="864"/>
            <w:vAlign w:val="center"/>
            <w:shd w:fill="FFFFFF"/>
            <w:tcMar>
              <w:top w:w="90" w:type="dxa"/>
              <w:bottom w:w="90" w:type="dxa"/>
              <w:start w:w="90" w:type="dxa"/>
              <w:end w:w="90" w:type="dxa"/>
            </w:tcMar>
          </w:tcPr>
          <w:p>
            <w:pPr>
              <w:spacing w:after="40" w:line="252" w:lineRule="auto"/>
            </w:pPr>
            <w:r>
              <w:rPr>
                <w:b w:val="0"/>
                <w:sz w:val="20"/>
              </w:rPr>
              <w:t>P1</w:t>
            </w:r>
          </w:p>
        </w:tc>
        <w:tc>
          <w:tcPr>
            <w:tcW w:type="dxa" w:w="3096"/>
            <w:vAlign w:val="center"/>
            <w:shd w:fill="FFFFFF"/>
            <w:tcMar>
              <w:top w:w="90" w:type="dxa"/>
              <w:bottom w:w="90" w:type="dxa"/>
              <w:start w:w="90" w:type="dxa"/>
              <w:end w:w="90" w:type="dxa"/>
            </w:tcMar>
          </w:tcPr>
          <w:p>
            <w:pPr>
              <w:spacing w:after="40" w:line="252" w:lineRule="auto"/>
            </w:pPr>
            <w:r>
              <w:rPr>
                <w:b w:val="0"/>
                <w:sz w:val="20"/>
              </w:rPr>
              <w:t>Empfehlungssicherheit und Datenschutz</w:t>
            </w:r>
          </w:p>
        </w:tc>
        <w:tc>
          <w:tcPr>
            <w:tcW w:type="dxa" w:w="6206"/>
            <w:vAlign w:val="center"/>
            <w:shd w:fill="FFFFFF"/>
            <w:tcMar>
              <w:top w:w="90" w:type="dxa"/>
              <w:bottom w:w="90" w:type="dxa"/>
              <w:start w:w="90" w:type="dxa"/>
              <w:end w:w="90" w:type="dxa"/>
            </w:tcMar>
          </w:tcPr>
          <w:p>
            <w:pPr>
              <w:spacing w:after="40" w:line="252" w:lineRule="auto"/>
            </w:pPr>
            <w:r>
              <w:rPr>
                <w:b w:val="0"/>
                <w:sz w:val="20"/>
              </w:rPr>
              <w:t>Migration alter öffentlicher Dokumente und Lastnachweis großer Blocklisten bleiben offen. Die neue Ausschlusslogik liest Seiten von 200, maximal 50 je Richtung; danach wird die Anfrage abgelehnt.</w:t>
            </w:r>
          </w:p>
        </w:tc>
      </w:tr>
      <w:tr>
        <w:trPr>
          <w:cantSplit/>
        </w:trPr>
        <w:tc>
          <w:tcPr>
            <w:tcW w:type="dxa" w:w="864"/>
            <w:vAlign w:val="center"/>
            <w:shd w:fill="FFFFFF"/>
            <w:tcMar>
              <w:top w:w="90" w:type="dxa"/>
              <w:bottom w:w="90" w:type="dxa"/>
              <w:start w:w="90" w:type="dxa"/>
              <w:end w:w="90" w:type="dxa"/>
            </w:tcMar>
          </w:tcPr>
          <w:p>
            <w:pPr>
              <w:spacing w:after="40" w:line="252" w:lineRule="auto"/>
            </w:pPr>
            <w:r>
              <w:rPr>
                <w:b w:val="0"/>
                <w:sz w:val="20"/>
              </w:rPr>
              <w:t>P1</w:t>
            </w:r>
          </w:p>
        </w:tc>
        <w:tc>
          <w:tcPr>
            <w:tcW w:type="dxa" w:w="3096"/>
            <w:vAlign w:val="center"/>
            <w:shd w:fill="FFFFFF"/>
            <w:tcMar>
              <w:top w:w="90" w:type="dxa"/>
              <w:bottom w:w="90" w:type="dxa"/>
              <w:start w:w="90" w:type="dxa"/>
              <w:end w:w="90" w:type="dxa"/>
            </w:tcMar>
          </w:tcPr>
          <w:p>
            <w:pPr>
              <w:spacing w:after="40" w:line="252" w:lineRule="auto"/>
            </w:pPr>
            <w:r>
              <w:rPr>
                <w:b w:val="0"/>
                <w:sz w:val="20"/>
              </w:rPr>
              <w:t>Biometrische Identität</w:t>
            </w:r>
          </w:p>
        </w:tc>
        <w:tc>
          <w:tcPr>
            <w:tcW w:type="dxa" w:w="6206"/>
            <w:vAlign w:val="center"/>
            <w:shd w:fill="FFFFFF"/>
            <w:tcMar>
              <w:top w:w="90" w:type="dxa"/>
              <w:bottom w:w="90" w:type="dxa"/>
              <w:start w:w="90" w:type="dxa"/>
              <w:end w:w="90" w:type="dxa"/>
            </w:tcMar>
          </w:tcPr>
          <w:p>
            <w:pPr>
              <w:spacing w:after="40" w:line="252" w:lineRule="auto"/>
            </w:pPr>
            <w:r>
              <w:rPr>
                <w:b w:val="0"/>
                <w:sz w:val="20"/>
              </w:rPr>
              <w:t>Kein echter Provider-/Liveness-Abnahmenachweis. Kein automatischer Verified-Status bei fehlender Integration. Verträge, Zweckbindung und Löschfristen erforderlich.</w:t>
            </w:r>
          </w:p>
        </w:tc>
      </w:tr>
      <w:tr>
        <w:trPr>
          <w:cantSplit/>
        </w:trPr>
        <w:tc>
          <w:tcPr>
            <w:tcW w:type="dxa" w:w="864"/>
            <w:vAlign w:val="center"/>
            <w:shd w:fill="FFFFFF"/>
            <w:tcMar>
              <w:top w:w="90" w:type="dxa"/>
              <w:bottom w:w="90" w:type="dxa"/>
              <w:start w:w="90" w:type="dxa"/>
              <w:end w:w="90" w:type="dxa"/>
            </w:tcMar>
          </w:tcPr>
          <w:p>
            <w:pPr>
              <w:spacing w:after="40" w:line="252" w:lineRule="auto"/>
            </w:pPr>
            <w:r>
              <w:rPr>
                <w:b w:val="0"/>
                <w:sz w:val="20"/>
              </w:rPr>
              <w:t>P2</w:t>
            </w:r>
          </w:p>
        </w:tc>
        <w:tc>
          <w:tcPr>
            <w:tcW w:type="dxa" w:w="3096"/>
            <w:vAlign w:val="center"/>
            <w:shd w:fill="FFFFFF"/>
            <w:tcMar>
              <w:top w:w="90" w:type="dxa"/>
              <w:bottom w:w="90" w:type="dxa"/>
              <w:start w:w="90" w:type="dxa"/>
              <w:end w:w="90" w:type="dxa"/>
            </w:tcMar>
          </w:tcPr>
          <w:p>
            <w:pPr>
              <w:spacing w:after="40" w:line="252" w:lineRule="auto"/>
            </w:pPr>
            <w:r>
              <w:rPr>
                <w:b w:val="0"/>
                <w:sz w:val="20"/>
              </w:rPr>
              <w:t>SSR, Bild-CDN, Cache</w:t>
            </w:r>
          </w:p>
        </w:tc>
        <w:tc>
          <w:tcPr>
            <w:tcW w:type="dxa" w:w="6206"/>
            <w:vAlign w:val="center"/>
            <w:shd w:fill="FFFFFF"/>
            <w:tcMar>
              <w:top w:w="90" w:type="dxa"/>
              <w:bottom w:w="90" w:type="dxa"/>
              <w:start w:w="90" w:type="dxa"/>
              <w:end w:w="90" w:type="dxa"/>
            </w:tcMar>
          </w:tcPr>
          <w:p>
            <w:pPr>
              <w:spacing w:after="40" w:line="252" w:lineRule="auto"/>
            </w:pPr>
            <w:r>
              <w:rPr>
                <w:b w:val="0"/>
                <w:sz w:val="20"/>
              </w:rPr>
              <w:t>Express/Vite-SPA bleibt bestehen; keine Remix-Migration, kein aktiviertes AVIF-CDN und kein verteilter Profilcache in diesem Inkrement. Migration nur mit Auth-/Hydration-/Invalidierungsnachweisen.</w:t>
            </w:r>
          </w:p>
        </w:tc>
      </w:tr>
      <w:tr>
        <w:trPr>
          <w:cantSplit/>
        </w:trPr>
        <w:tc>
          <w:tcPr>
            <w:tcW w:type="dxa" w:w="864"/>
            <w:vAlign w:val="center"/>
            <w:shd w:fill="FFFFFF"/>
            <w:tcMar>
              <w:top w:w="90" w:type="dxa"/>
              <w:bottom w:w="90" w:type="dxa"/>
              <w:start w:w="90" w:type="dxa"/>
              <w:end w:w="90" w:type="dxa"/>
            </w:tcMar>
          </w:tcPr>
          <w:p>
            <w:pPr>
              <w:spacing w:after="40" w:line="252" w:lineRule="auto"/>
            </w:pPr>
            <w:r>
              <w:rPr>
                <w:b w:val="0"/>
                <w:sz w:val="20"/>
              </w:rPr>
              <w:t>P2</w:t>
            </w:r>
          </w:p>
        </w:tc>
        <w:tc>
          <w:tcPr>
            <w:tcW w:type="dxa" w:w="3096"/>
            <w:vAlign w:val="center"/>
            <w:shd w:fill="FFFFFF"/>
            <w:tcMar>
              <w:top w:w="90" w:type="dxa"/>
              <w:bottom w:w="90" w:type="dxa"/>
              <w:start w:w="90" w:type="dxa"/>
              <w:end w:w="90" w:type="dxa"/>
            </w:tcMar>
          </w:tcPr>
          <w:p>
            <w:pPr>
              <w:spacing w:after="40" w:line="252" w:lineRule="auto"/>
            </w:pPr>
            <w:r>
              <w:rPr>
                <w:b w:val="0"/>
                <w:sz w:val="20"/>
              </w:rPr>
              <w:t>Belastbarer Enterprise-Betrieb</w:t>
            </w:r>
          </w:p>
        </w:tc>
        <w:tc>
          <w:tcPr>
            <w:tcW w:type="dxa" w:w="6206"/>
            <w:vAlign w:val="center"/>
            <w:shd w:fill="FFFFFF"/>
            <w:tcMar>
              <w:top w:w="90" w:type="dxa"/>
              <w:bottom w:w="90" w:type="dxa"/>
              <w:start w:w="90" w:type="dxa"/>
              <w:end w:w="90" w:type="dxa"/>
            </w:tcMar>
          </w:tcPr>
          <w:p>
            <w:pPr>
              <w:spacing w:after="40" w:line="252" w:lineRule="auto"/>
            </w:pPr>
            <w:r>
              <w:rPr>
                <w:b w:val="0"/>
                <w:sz w:val="20"/>
              </w:rPr>
              <w:t>Branch Protection, Restore-/Rollback-Übungen, IAM, Alarmzustellung, SLOs, Last-/Latenz-/Kostenmessung und Geheimnisrotation in Zielumgebung nachweisen.</w:t>
            </w:r>
          </w:p>
        </w:tc>
      </w:tr>
      <w:tr>
        <w:trPr>
          <w:cantSplit/>
        </w:trPr>
        <w:tc>
          <w:tcPr>
            <w:tcW w:type="dxa" w:w="864"/>
            <w:vAlign w:val="center"/>
            <w:shd w:fill="FFFFFF"/>
            <w:tcMar>
              <w:top w:w="90" w:type="dxa"/>
              <w:bottom w:w="90" w:type="dxa"/>
              <w:start w:w="90" w:type="dxa"/>
              <w:end w:w="90" w:type="dxa"/>
            </w:tcMar>
          </w:tcPr>
          <w:p>
            <w:pPr>
              <w:spacing w:after="40" w:line="252" w:lineRule="auto"/>
            </w:pPr>
            <w:r>
              <w:rPr>
                <w:b w:val="0"/>
                <w:sz w:val="20"/>
              </w:rPr>
              <w:t>P2</w:t>
            </w:r>
          </w:p>
        </w:tc>
        <w:tc>
          <w:tcPr>
            <w:tcW w:type="dxa" w:w="3096"/>
            <w:vAlign w:val="center"/>
            <w:shd w:fill="FFFFFF"/>
            <w:tcMar>
              <w:top w:w="90" w:type="dxa"/>
              <w:bottom w:w="90" w:type="dxa"/>
              <w:start w:w="90" w:type="dxa"/>
              <w:end w:w="90" w:type="dxa"/>
            </w:tcMar>
          </w:tcPr>
          <w:p>
            <w:pPr>
              <w:spacing w:after="40" w:line="252" w:lineRule="auto"/>
            </w:pPr>
            <w:r>
              <w:rPr>
                <w:b w:val="0"/>
                <w:sz w:val="20"/>
              </w:rPr>
              <w:t>WCAG und Compliance</w:t>
            </w:r>
          </w:p>
        </w:tc>
        <w:tc>
          <w:tcPr>
            <w:tcW w:type="dxa" w:w="6206"/>
            <w:vAlign w:val="center"/>
            <w:shd w:fill="FFFFFF"/>
            <w:tcMar>
              <w:top w:w="90" w:type="dxa"/>
              <w:bottom w:w="90" w:type="dxa"/>
              <w:start w:w="90" w:type="dxa"/>
              <w:end w:w="90" w:type="dxa"/>
            </w:tcMar>
          </w:tcPr>
          <w:p>
            <w:pPr>
              <w:spacing w:after="40" w:line="252" w:lineRule="auto"/>
            </w:pPr>
            <w:r>
              <w:rPr>
                <w:b w:val="0"/>
                <w:sz w:val="20"/>
              </w:rPr>
              <w:t>Automatisierte Regressionen plus manuelle Tastatur-, Screenreader-, Zoom-/Reflow- und Mobilgeräteprüfung aller Reisen; unabhängige rechtliche Bewertung. Keine vollständige Zertifizierung durch diesen Bericht.</w:t>
            </w:r>
          </w:p>
        </w:tc>
      </w:tr>
    </w:tbl>
    <w:p>
      <w:pPr>
        <w:spacing w:after="20"/>
      </w:pPr>
    </w:p>
    <w:p>
      <w:r>
        <w:t xml:space="preserve">Quellen: </w:t>
      </w:r>
      <w:hyperlink r:id="rId16">
        <w:r>
          <w:rPr>
            <w:color w:val="174A6E"/>
          </w:rPr>
          <w:t>Stripe Webhooks</w:t>
        </w:r>
      </w:hyperlink>
      <w:r>
        <w:t xml:space="preserve">, </w:t>
      </w:r>
      <w:hyperlink r:id="rId17">
        <w:r>
          <w:rPr>
            <w:color w:val="174A6E"/>
          </w:rPr>
          <w:t>Firebase Tools Issues</w:t>
        </w:r>
      </w:hyperlink>
      <w:r>
        <w:t xml:space="preserve">, </w:t>
      </w:r>
      <w:hyperlink r:id="rId11">
        <w:r>
          <w:rPr>
            <w:color w:val="174A6E"/>
          </w:rPr>
          <w:t>Firebase-Betriebszuordnung</w:t>
        </w:r>
      </w:hyperlink>
      <w:r>
        <w:t>. Aktuelle Provider-Fakten sind vom nachgewiesenen App-Verhalten zu unterscheiden.</w:t>
      </w:r>
    </w:p>
    <w:sectPr w:rsidR="00FC693F" w:rsidRPr="0006063C" w:rsidSect="00034616">
      <w:footerReference w:type="default" r:id="rId18"/>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Klar · Audit 28.09.2026 · 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line="264" w:lineRule="auto"/>
      <w:outlineLvl w:val="0"/>
    </w:pPr>
    <w:rPr>
      <w:rFonts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40" w:line="264" w:lineRule="auto"/>
      <w:outlineLvl w:val="1"/>
    </w:pPr>
    <w:rPr>
      <w:rFonts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64" w:lineRule="auto" w:before="200"/>
      <w:contextualSpacing/>
    </w:pPr>
    <w:rPr>
      <w:rFonts w:ascii="Arial" w:hAnsi="Arial"/>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veselin8606-source/Klar-App/pull/52" TargetMode="External"/><Relationship Id="rId10" Type="http://schemas.openxmlformats.org/officeDocument/2006/relationships/hyperlink" Target="https://github.com/veselin8606-source/Klar-App/blob/feat/global-readiness-2026-09-27/docs/AUDIT_2026-09-27.md" TargetMode="External"/><Relationship Id="rId11" Type="http://schemas.openxmlformats.org/officeDocument/2006/relationships/hyperlink" Target="https://github.com/veselin8606-source/Klar-App/blob/feat/global-readiness-2026-09-27/docs/FIREBASE_OPERATIONS.md" TargetMode="External"/><Relationship Id="rId12" Type="http://schemas.openxmlformats.org/officeDocument/2006/relationships/hyperlink" Target="https://github.com/veselin8606-source/Klar-App/actions/runs/36376282750" TargetMode="External"/><Relationship Id="rId13" Type="http://schemas.openxmlformats.org/officeDocument/2006/relationships/hyperlink" Target="https://github.com/veselin8606-source/Klar-App/actions/runs/36376282721" TargetMode="External"/><Relationship Id="rId14" Type="http://schemas.openxmlformats.org/officeDocument/2006/relationships/hyperlink" Target="https://github.com/veselin8606-source/Klar-App/actions/runs/36376282722" TargetMode="External"/><Relationship Id="rId15" Type="http://schemas.openxmlformats.org/officeDocument/2006/relationships/hyperlink" Target="https://github.com/veselin8606-source/Klar-App/blob/feat/global-readiness-2026-09-27/docs/DEPENDENCY_REVIEW_2026-09-27.md" TargetMode="External"/><Relationship Id="rId16" Type="http://schemas.openxmlformats.org/officeDocument/2006/relationships/hyperlink" Target="https://docs.stripe.com/webhooks" TargetMode="External"/><Relationship Id="rId17" Type="http://schemas.openxmlformats.org/officeDocument/2006/relationships/hyperlink" Target="https://github.com/firebase/firebase-tools/issues" TargetMode="External"/><Relationship Id="rId1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Klar App: Audit und Umsetzung</dc:title>
  <dc:subject>Prüfergebnisse und offene Freigabenachweise vom 28 September 2026</dc:subject>
  <dc:creator>Klar Projekt</dc:creator>
  <cp:keywords/>
  <dc:description>generated by python-docx</dc:description>
  <cp:lastModifiedBy/>
  <cp:revision>1</cp:revision>
  <dcterms:created xsi:type="dcterms:W3CDTF">2013-12-23T23:15:00Z</dcterms:created>
  <dcterms:modified xsi:type="dcterms:W3CDTF">2013-12-23T23:15:00Z</dcterms:modified>
  <cp:category/>
</cp:coreProperties>
</file>