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Klar App Auditfortschritt</w:t>
      </w:r>
    </w:p>
    <w:p>
      <w:r>
        <w:t>Stand 21 September 2026</w:t>
      </w:r>
    </w:p>
    <w:p>
      <w:r>
        <w:t>Dieser Bericht ergänzt das Audit vom 20. September und bewertet die Änderungen in PR 13 für Entwicklung, Qualitätssicherung und Betrieb. Der Code schließt konkrete Speicher-, Berechtigungs-, Datenschutz- und Bedienungslücken. Eine vollständige Enterprise-Freigabe ist weiterhin an die unten aufgeführten Nachweise gebunden.</w:t>
      </w:r>
    </w:p>
    <w:p>
      <w:pPr>
        <w:pStyle w:val="Heading1"/>
      </w:pPr>
      <w:r>
        <w:t>Geprüfter Stand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5040"/>
        <w:gridCol w:w="2736"/>
      </w:tblGrid>
      <w:tr>
        <w:trPr>
          <w:cantSplit/>
          <w:tblHeader/>
        </w:trPr>
        <w:tc>
          <w:tcPr>
            <w:tcW w:type="dxa" w:w="2376"/>
            <w:vAlign w:val="center"/>
            <w:shd w:fill="E8EFF3"/>
            <w:tcMar>
              <w:top w:w="90" w:type="dxa"/>
              <w:bottom w:w="90" w:type="dxa"/>
              <w:start w:w="90" w:type="dxa"/>
              <w:end w:w="90" w:type="dxa"/>
            </w:tcMar>
          </w:tcPr>
          <w:p>
            <w:pPr>
              <w:spacing w:after="40" w:line="252" w:lineRule="auto"/>
            </w:pPr>
            <w:r>
              <w:rPr>
                <w:b/>
                <w:sz w:val="18"/>
              </w:rPr>
              <w:t>Nachweis</w:t>
            </w:r>
          </w:p>
        </w:tc>
        <w:tc>
          <w:tcPr>
            <w:tcW w:type="dxa" w:w="5040"/>
            <w:vAlign w:val="center"/>
            <w:shd w:fill="E8EFF3"/>
            <w:tcMar>
              <w:top w:w="90" w:type="dxa"/>
              <w:bottom w:w="90" w:type="dxa"/>
              <w:start w:w="90" w:type="dxa"/>
              <w:end w:w="90" w:type="dxa"/>
            </w:tcMar>
          </w:tcPr>
          <w:p>
            <w:pPr>
              <w:spacing w:after="40" w:line="252" w:lineRule="auto"/>
            </w:pPr>
            <w:r>
              <w:rPr>
                <w:b/>
                <w:sz w:val="18"/>
              </w:rPr>
              <w:t>Ergebnis</w:t>
            </w:r>
          </w:p>
        </w:tc>
        <w:tc>
          <w:tcPr>
            <w:tcW w:type="dxa" w:w="2736"/>
            <w:vAlign w:val="center"/>
            <w:shd w:fill="E8EFF3"/>
            <w:tcMar>
              <w:top w:w="90" w:type="dxa"/>
              <w:bottom w:w="90" w:type="dxa"/>
              <w:start w:w="90" w:type="dxa"/>
              <w:end w:w="90" w:type="dxa"/>
            </w:tcMar>
          </w:tcPr>
          <w:p>
            <w:pPr>
              <w:spacing w:after="40" w:line="252" w:lineRule="auto"/>
            </w:pPr>
            <w:r>
              <w:rPr>
                <w:b/>
                <w:sz w:val="18"/>
              </w:rPr>
              <w:t>Bezug</w:t>
            </w:r>
          </w:p>
        </w:tc>
      </w:tr>
      <w:tr>
        <w:trPr>
          <w:cantSplit/>
        </w:trPr>
        <w:tc>
          <w:tcPr>
            <w:tcW w:type="dxa" w:w="2376"/>
            <w:vAlign w:val="center"/>
            <w:shd w:fill="FFFFFF"/>
            <w:tcMar>
              <w:top w:w="90" w:type="dxa"/>
              <w:bottom w:w="90" w:type="dxa"/>
              <w:start w:w="90" w:type="dxa"/>
              <w:end w:w="90" w:type="dxa"/>
            </w:tcMar>
          </w:tcPr>
          <w:p>
            <w:pPr>
              <w:spacing w:after="40" w:line="252" w:lineRule="auto"/>
            </w:pPr>
            <w:r>
              <w:rPr>
                <w:b w:val="0"/>
                <w:sz w:val="18"/>
              </w:rPr>
              <w:t>Codekandidat</w:t>
            </w:r>
          </w:p>
        </w:tc>
        <w:tc>
          <w:tcPr>
            <w:tcW w:type="dxa" w:w="5040"/>
            <w:vAlign w:val="center"/>
            <w:shd w:fill="FFFFFF"/>
            <w:tcMar>
              <w:top w:w="90" w:type="dxa"/>
              <w:bottom w:w="90" w:type="dxa"/>
              <w:start w:w="90" w:type="dxa"/>
              <w:end w:w="90" w:type="dxa"/>
            </w:tcMar>
          </w:tcPr>
          <w:p>
            <w:pPr>
              <w:spacing w:after="40" w:line="252" w:lineRule="auto"/>
            </w:pPr>
            <w:r>
              <w:rPr>
                <w:b w:val="0"/>
                <w:sz w:val="18"/>
              </w:rPr>
              <w:t>f172abfc1eb4014349a6eb0c5317fce4d108d5a2</w:t>
            </w:r>
          </w:p>
        </w:tc>
        <w:tc>
          <w:tcPr>
            <w:tcW w:type="dxa" w:w="2736"/>
            <w:vAlign w:val="center"/>
            <w:shd w:fill="FFFFFF"/>
            <w:tcMar>
              <w:top w:w="90" w:type="dxa"/>
              <w:bottom w:w="90" w:type="dxa"/>
              <w:start w:w="90" w:type="dxa"/>
              <w:end w:w="90" w:type="dxa"/>
            </w:tcMar>
          </w:tcPr>
          <w:p>
            <w:pPr>
              <w:spacing w:after="40" w:line="252" w:lineRule="auto"/>
            </w:pPr>
            <w:r>
              <w:rPr>
                <w:b w:val="0"/>
                <w:sz w:val="18"/>
              </w:rPr>
              <w:t>PR 13</w:t>
            </w:r>
          </w:p>
        </w:tc>
      </w:tr>
      <w:tr>
        <w:trPr>
          <w:cantSplit/>
        </w:trPr>
        <w:tc>
          <w:tcPr>
            <w:tcW w:type="dxa" w:w="2376"/>
            <w:vAlign w:val="center"/>
            <w:shd w:fill="FFFFFF"/>
            <w:tcMar>
              <w:top w:w="90" w:type="dxa"/>
              <w:bottom w:w="90" w:type="dxa"/>
              <w:start w:w="90" w:type="dxa"/>
              <w:end w:w="90" w:type="dxa"/>
            </w:tcMar>
          </w:tcPr>
          <w:p>
            <w:pPr>
              <w:spacing w:after="40" w:line="252" w:lineRule="auto"/>
            </w:pPr>
            <w:r>
              <w:rPr>
                <w:b w:val="0"/>
                <w:sz w:val="18"/>
              </w:rPr>
              <w:t>Statische Enterprise-Prüfungen</w:t>
            </w:r>
          </w:p>
        </w:tc>
        <w:tc>
          <w:tcPr>
            <w:tcW w:type="dxa" w:w="5040"/>
            <w:vAlign w:val="center"/>
            <w:shd w:fill="FFFFFF"/>
            <w:tcMar>
              <w:top w:w="90" w:type="dxa"/>
              <w:bottom w:w="90" w:type="dxa"/>
              <w:start w:w="90" w:type="dxa"/>
              <w:end w:w="90" w:type="dxa"/>
            </w:tcMar>
          </w:tcPr>
          <w:p>
            <w:pPr>
              <w:spacing w:after="40" w:line="252" w:lineRule="auto"/>
            </w:pPr>
            <w:r>
              <w:rPr>
                <w:b w:val="0"/>
                <w:sz w:val="18"/>
              </w:rPr>
              <w:t>Erfolgreich</w:t>
            </w:r>
          </w:p>
        </w:tc>
        <w:tc>
          <w:tcPr>
            <w:tcW w:type="dxa" w:w="2736"/>
            <w:vAlign w:val="center"/>
            <w:shd w:fill="FFFFFF"/>
            <w:tcMar>
              <w:top w:w="90" w:type="dxa"/>
              <w:bottom w:w="90" w:type="dxa"/>
              <w:start w:w="90" w:type="dxa"/>
              <w:end w:w="90" w:type="dxa"/>
            </w:tcMar>
          </w:tcPr>
          <w:p>
            <w:pPr>
              <w:spacing w:after="40" w:line="252" w:lineRule="auto"/>
            </w:pPr>
            <w:r>
              <w:rPr>
                <w:b w:val="0"/>
                <w:sz w:val="18"/>
              </w:rPr>
            </w:r>
            <w:hyperlink r:id="rId9">
              <w:r>
                <w:rPr>
                  <w:color w:val="174A6E"/>
                </w:rPr>
                <w:t>CI 35630837390</w:t>
              </w:r>
            </w:hyperlink>
            <w:r>
              <w:rPr>
                <w:b w:val="0"/>
                <w:sz w:val="18"/>
              </w:rPr>
            </w:r>
          </w:p>
        </w:tc>
      </w:tr>
      <w:tr>
        <w:trPr>
          <w:cantSplit/>
        </w:trPr>
        <w:tc>
          <w:tcPr>
            <w:tcW w:type="dxa" w:w="2376"/>
            <w:vAlign w:val="center"/>
            <w:shd w:fill="FFFFFF"/>
            <w:tcMar>
              <w:top w:w="90" w:type="dxa"/>
              <w:bottom w:w="90" w:type="dxa"/>
              <w:start w:w="90" w:type="dxa"/>
              <w:end w:w="90" w:type="dxa"/>
            </w:tcMar>
          </w:tcPr>
          <w:p>
            <w:pPr>
              <w:spacing w:after="40" w:line="252" w:lineRule="auto"/>
            </w:pPr>
            <w:r>
              <w:rPr>
                <w:b w:val="0"/>
                <w:sz w:val="18"/>
              </w:rPr>
              <w:t>TypeScript und automatisierte Tests</w:t>
            </w:r>
          </w:p>
        </w:tc>
        <w:tc>
          <w:tcPr>
            <w:tcW w:type="dxa" w:w="5040"/>
            <w:vAlign w:val="center"/>
            <w:shd w:fill="FFFFFF"/>
            <w:tcMar>
              <w:top w:w="90" w:type="dxa"/>
              <w:bottom w:w="90" w:type="dxa"/>
              <w:start w:w="90" w:type="dxa"/>
              <w:end w:w="90" w:type="dxa"/>
            </w:tcMar>
          </w:tcPr>
          <w:p>
            <w:pPr>
              <w:spacing w:after="40" w:line="252" w:lineRule="auto"/>
            </w:pPr>
            <w:r>
              <w:rPr>
                <w:b w:val="0"/>
                <w:sz w:val="18"/>
              </w:rPr>
              <w:t>TypeScript erfolgreich; 474 Tests in 64 Dateien bestanden</w:t>
            </w:r>
          </w:p>
        </w:tc>
        <w:tc>
          <w:tcPr>
            <w:tcW w:type="dxa" w:w="2736"/>
            <w:vAlign w:val="center"/>
            <w:shd w:fill="FFFFFF"/>
            <w:tcMar>
              <w:top w:w="90" w:type="dxa"/>
              <w:bottom w:w="90" w:type="dxa"/>
              <w:start w:w="90" w:type="dxa"/>
              <w:end w:w="90" w:type="dxa"/>
            </w:tcMar>
          </w:tcPr>
          <w:p>
            <w:pPr>
              <w:spacing w:after="40" w:line="252" w:lineRule="auto"/>
            </w:pPr>
            <w:r>
              <w:rPr>
                <w:b w:val="0"/>
                <w:sz w:val="18"/>
              </w:rPr>
            </w:r>
            <w:hyperlink r:id="rId9">
              <w:r>
                <w:rPr>
                  <w:color w:val="174A6E"/>
                </w:rPr>
                <w:t>CI 35630837390</w:t>
              </w:r>
            </w:hyperlink>
            <w:r>
              <w:rPr>
                <w:b w:val="0"/>
                <w:sz w:val="18"/>
              </w:rPr>
            </w:r>
          </w:p>
        </w:tc>
      </w:tr>
      <w:tr>
        <w:trPr>
          <w:cantSplit/>
        </w:trPr>
        <w:tc>
          <w:tcPr>
            <w:tcW w:type="dxa" w:w="2376"/>
            <w:vAlign w:val="center"/>
            <w:shd w:fill="FFFFFF"/>
            <w:tcMar>
              <w:top w:w="90" w:type="dxa"/>
              <w:bottom w:w="90" w:type="dxa"/>
              <w:start w:w="90" w:type="dxa"/>
              <w:end w:w="90" w:type="dxa"/>
            </w:tcMar>
          </w:tcPr>
          <w:p>
            <w:pPr>
              <w:spacing w:after="40" w:line="252" w:lineRule="auto"/>
            </w:pPr>
            <w:r>
              <w:rPr>
                <w:b w:val="0"/>
                <w:sz w:val="18"/>
              </w:rPr>
              <w:t>Produktionsbuild und Container</w:t>
            </w:r>
          </w:p>
        </w:tc>
        <w:tc>
          <w:tcPr>
            <w:tcW w:type="dxa" w:w="5040"/>
            <w:vAlign w:val="center"/>
            <w:shd w:fill="FFFFFF"/>
            <w:tcMar>
              <w:top w:w="90" w:type="dxa"/>
              <w:bottom w:w="90" w:type="dxa"/>
              <w:start w:w="90" w:type="dxa"/>
              <w:end w:w="90" w:type="dxa"/>
            </w:tcMar>
          </w:tcPr>
          <w:p>
            <w:pPr>
              <w:spacing w:after="40" w:line="252" w:lineRule="auto"/>
            </w:pPr>
            <w:r>
              <w:rPr>
                <w:b w:val="0"/>
                <w:sz w:val="18"/>
              </w:rPr>
              <w:t>Beide erfolgreich</w:t>
            </w:r>
          </w:p>
        </w:tc>
        <w:tc>
          <w:tcPr>
            <w:tcW w:type="dxa" w:w="2736"/>
            <w:vAlign w:val="center"/>
            <w:shd w:fill="FFFFFF"/>
            <w:tcMar>
              <w:top w:w="90" w:type="dxa"/>
              <w:bottom w:w="90" w:type="dxa"/>
              <w:start w:w="90" w:type="dxa"/>
              <w:end w:w="90" w:type="dxa"/>
            </w:tcMar>
          </w:tcPr>
          <w:p>
            <w:pPr>
              <w:spacing w:after="40" w:line="252" w:lineRule="auto"/>
            </w:pPr>
            <w:r>
              <w:rPr>
                <w:b w:val="0"/>
                <w:sz w:val="18"/>
              </w:rPr>
            </w:r>
            <w:hyperlink r:id="rId9">
              <w:r>
                <w:rPr>
                  <w:color w:val="174A6E"/>
                </w:rPr>
                <w:t>CI 35630837390</w:t>
              </w:r>
            </w:hyperlink>
            <w:r>
              <w:rPr>
                <w:b w:val="0"/>
                <w:sz w:val="18"/>
              </w:rPr>
            </w:r>
          </w:p>
        </w:tc>
      </w:tr>
      <w:tr>
        <w:trPr>
          <w:cantSplit/>
        </w:trPr>
        <w:tc>
          <w:tcPr>
            <w:tcW w:type="dxa" w:w="2376"/>
            <w:vAlign w:val="center"/>
            <w:shd w:fill="FFFFFF"/>
            <w:tcMar>
              <w:top w:w="90" w:type="dxa"/>
              <w:bottom w:w="90" w:type="dxa"/>
              <w:start w:w="90" w:type="dxa"/>
              <w:end w:w="90" w:type="dxa"/>
            </w:tcMar>
          </w:tcPr>
          <w:p>
            <w:pPr>
              <w:spacing w:after="40" w:line="252" w:lineRule="auto"/>
            </w:pPr>
            <w:r>
              <w:rPr>
                <w:b w:val="0"/>
                <w:sz w:val="18"/>
              </w:rPr>
              <w:t>Chromium und Axe</w:t>
            </w:r>
          </w:p>
        </w:tc>
        <w:tc>
          <w:tcPr>
            <w:tcW w:type="dxa" w:w="5040"/>
            <w:vAlign w:val="center"/>
            <w:shd w:fill="FFFFFF"/>
            <w:tcMar>
              <w:top w:w="90" w:type="dxa"/>
              <w:bottom w:w="90" w:type="dxa"/>
              <w:start w:w="90" w:type="dxa"/>
              <w:end w:w="90" w:type="dxa"/>
            </w:tcMar>
          </w:tcPr>
          <w:p>
            <w:pPr>
              <w:spacing w:after="40" w:line="252" w:lineRule="auto"/>
            </w:pPr>
            <w:r>
              <w:rPr>
                <w:b w:val="0"/>
                <w:sz w:val="18"/>
              </w:rPr>
              <w:t>10 von 10 Tests bestanden</w:t>
            </w:r>
          </w:p>
        </w:tc>
        <w:tc>
          <w:tcPr>
            <w:tcW w:type="dxa" w:w="2736"/>
            <w:vAlign w:val="center"/>
            <w:shd w:fill="FFFFFF"/>
            <w:tcMar>
              <w:top w:w="90" w:type="dxa"/>
              <w:bottom w:w="90" w:type="dxa"/>
              <w:start w:w="90" w:type="dxa"/>
              <w:end w:w="90" w:type="dxa"/>
            </w:tcMar>
          </w:tcPr>
          <w:p>
            <w:pPr>
              <w:spacing w:after="40" w:line="252" w:lineRule="auto"/>
            </w:pPr>
            <w:r>
              <w:rPr>
                <w:b w:val="0"/>
                <w:sz w:val="18"/>
              </w:rPr>
            </w:r>
            <w:hyperlink r:id="rId10">
              <w:r>
                <w:rPr>
                  <w:color w:val="174A6E"/>
                </w:rPr>
                <w:t>Playwright 35630837241</w:t>
              </w:r>
            </w:hyperlink>
            <w:r>
              <w:rPr>
                <w:b w:val="0"/>
                <w:sz w:val="18"/>
              </w:rPr>
            </w:r>
          </w:p>
        </w:tc>
      </w:tr>
      <w:tr>
        <w:trPr>
          <w:cantSplit/>
        </w:trPr>
        <w:tc>
          <w:tcPr>
            <w:tcW w:type="dxa" w:w="2376"/>
            <w:vAlign w:val="center"/>
            <w:shd w:fill="FFFFFF"/>
            <w:tcMar>
              <w:top w:w="90" w:type="dxa"/>
              <w:bottom w:w="90" w:type="dxa"/>
              <w:start w:w="90" w:type="dxa"/>
              <w:end w:w="90" w:type="dxa"/>
            </w:tcMar>
          </w:tcPr>
          <w:p>
            <w:pPr>
              <w:spacing w:after="40" w:line="252" w:lineRule="auto"/>
            </w:pPr>
            <w:r>
              <w:rPr>
                <w:b w:val="0"/>
                <w:sz w:val="18"/>
              </w:rPr>
              <w:t>Abhängigkeitsprüfung</w:t>
            </w:r>
          </w:p>
        </w:tc>
        <w:tc>
          <w:tcPr>
            <w:tcW w:type="dxa" w:w="5040"/>
            <w:vAlign w:val="center"/>
            <w:shd w:fill="FFFFFF"/>
            <w:tcMar>
              <w:top w:w="90" w:type="dxa"/>
              <w:bottom w:w="90" w:type="dxa"/>
              <w:start w:w="90" w:type="dxa"/>
              <w:end w:w="90" w:type="dxa"/>
            </w:tcMar>
          </w:tcPr>
          <w:p>
            <w:pPr>
              <w:spacing w:after="40" w:line="252" w:lineRule="auto"/>
            </w:pPr>
            <w:r>
              <w:rPr>
                <w:b w:val="0"/>
                <w:sz w:val="18"/>
              </w:rPr>
              <w:t>Keine hohen oder kritischen Meldungen; 7 moderate im Gesamtgraph, davon 2 im Produktionsgraph</w:t>
            </w:r>
          </w:p>
        </w:tc>
        <w:tc>
          <w:tcPr>
            <w:tcW w:type="dxa" w:w="2736"/>
            <w:vAlign w:val="center"/>
            <w:shd w:fill="FFFFFF"/>
            <w:tcMar>
              <w:top w:w="90" w:type="dxa"/>
              <w:bottom w:w="90" w:type="dxa"/>
              <w:start w:w="90" w:type="dxa"/>
              <w:end w:w="90" w:type="dxa"/>
            </w:tcMar>
          </w:tcPr>
          <w:p>
            <w:pPr>
              <w:spacing w:after="40" w:line="252" w:lineRule="auto"/>
            </w:pPr>
            <w:r>
              <w:rPr>
                <w:b w:val="0"/>
                <w:sz w:val="18"/>
              </w:rPr>
              <w:t>npm audit im CI-Lauf</w:t>
            </w:r>
          </w:p>
        </w:tc>
      </w:tr>
    </w:tbl>
    <w:p>
      <w:pPr>
        <w:spacing w:after="20"/>
      </w:pPr>
    </w:p>
    <w:p>
      <w:r>
        <w:t>PR 11 und PR 12 sind in main integriert. PR 13 enthält die hier beschriebenen weiteren Änderungen und wartet auf unabhängige Prüfung. Die Nachweise beziehen sich auf den genannten Codekandidaten. Dokumentationsänderungen führen zu einem weiteren Commit ohne Änderung des geprüften Anwendungscodes.</w:t>
      </w:r>
    </w:p>
    <w:p>
      <w:pPr>
        <w:pStyle w:val="Heading1"/>
      </w:pPr>
      <w:r>
        <w:t>Behobene Fehler und Wirkung</w:t>
      </w:r>
    </w:p>
    <w:p>
      <w:r/>
      <w:r>
        <w:rPr>
          <w:b/>
        </w:rPr>
        <w:t>Dauerhafte Speicherung.</w:t>
      </w:r>
      <w:r>
        <w:t xml:space="preserve"> Auth- und Firestore-Emulatoren verwenden dasselbe isolierte Demo-Projekt. Die produktive Datenbankkonfiguration wird im Container mitgeliefert. Der Server startet die Anwendung erst nach einem erfolgreichen Datenbankzugriff. Fehler führen zu einer Nichtverfügbarkeitsantwort; der frühere Ersatz durch flüchtigen Arbeitsspeicher entfällt.</w:t>
      </w:r>
    </w:p>
    <w:p>
      <w:r/>
      <w:r>
        <w:rPr>
          <w:b/>
        </w:rPr>
        <w:t>Einwilligung und Berechtigungen.</w:t>
      </w:r>
      <w:r>
        <w:t xml:space="preserve"> Profilzustand und HMAC-signierter Nachweis werden atomar geschrieben. Neue Nachweise verweisen auf den vorherigen Eintrag. Gleichzeitige Teilwiderrufe überschreiben einander nicht. Lesefehler dürfen weder Volljährigkeit noch Einwilligung annehmen; fehlgeschlagene Speicherung darf keinen Erfolg bestätigen. Authentifizierte Gäste erhalten bei gesperrten Kontakten den passenden 403-Status. Ein deaktivierter anonymer Login erzeugt kein dauerhaftes Ersatzkonto.</w:t>
      </w:r>
    </w:p>
    <w:p>
      <w:r/>
      <w:r>
        <w:rPr>
          <w:b/>
        </w:rPr>
        <w:t>Datensparsame Diagnose.</w:t>
      </w:r>
      <w:r>
        <w:t xml:space="preserve"> Die Error Boundary liest keine Browser-Speicherinhalte für Fehlerberichte aus. Sentry erhält nach lokaler Diagnoseeinwilligung nur freigegebene technische Felder und Fundstellen in eigenen JavaScript-Bundles. Freitexte, Nutzerprofile, URLs mit Parametern, Cookies und Kontextobjekte werden verworfen. Browser-Tracing und automatische Session-Integrationen sind deaktiviert; serverseitige Betriebsmetriken bleiben verfügbar.</w:t>
      </w:r>
    </w:p>
    <w:p>
      <w:r/>
      <w:r>
        <w:rPr>
          <w:b/>
        </w:rPr>
        <w:t>Bedienbarkeit.</w:t>
      </w:r>
      <w:r>
        <w:t xml:space="preserve"> Benachrichtigungen besitzen native Schaltflächen und nachvollziehbare aufgeklappte Zustände. Automatisches Schließen pausiert bei Fokus, Zeigerkontakt und geöffneten Details. Handlungspflichtige Hinweise bleiben sichtbar. Die Dashboard-Einführung hat Dialogsemantik, Fokusbegrenzung und Rückgabe, Escape, Überspringen, Fortschrittsansagen und reduzierte Bewegung. Überspringen wird nicht als Abschluss gezählt.</w:t>
      </w:r>
    </w:p>
    <w:p>
      <w:r/>
      <w:r>
        <w:rPr>
          <w:b/>
        </w:rPr>
        <w:t>Aussagekräftige Prüfungen.</w:t>
      </w:r>
      <w:r>
        <w:t xml:space="preserve"> Die doppelte CSP in der HTML-Datei blockiert die Emulatoren nicht mehr. Browserprüfungen warten auf bedienbare Inhalte. Der KI-Scanner erkennt TypeScript-Casts und prüft 22 direkte Modell-Endpunkte gegen die Ersatzstrategie. Ein leerer Scan schlägt fehl. Die Hook-Prüfung unterscheidet Klassenmethoden von fehlenden React-Settern.</w:t>
      </w:r>
    </w:p>
    <w:p>
      <w:pPr>
        <w:pStyle w:val="Heading1"/>
      </w:pPr>
      <w:r>
        <w:t>Musikfunktionen</w:t>
      </w:r>
    </w:p>
    <w:p>
      <w:r>
        <w:t>Typisierung, Matching und Erfassung im registrierten Onboarding sind vorhanden. Bei zwei vorhandenen Musikpräferenz-Objekten beträgt der Musikanteil am Matchscore 30 Prozent. Der Browsertest prüft Genres, Konzert- und Instrumentenangaben anhand der gespeicherten Exportdaten sowie nach einem Neuladen.</w:t>
      </w:r>
    </w:p>
    <w:p>
      <w:r>
        <w:t>Der getestete Helfer generateMusicIcebreaker erzeugt regelbasierte Texte. Im geprüften Quellstand hat er keinen produktiven Aufrufer. Seine Existenz belegt deshalb keine durchgängige Musikfunktion im sichtbaren KI-Coach. Dieser Integrationspunkt bleibt im Projektstatus ausgewiesen.</w:t>
      </w:r>
    </w:p>
    <w:p>
      <w:pPr>
        <w:pStyle w:val="Heading1"/>
      </w:pPr>
      <w:r>
        <w:t>Betriebskosten und Lieferkette</w:t>
      </w:r>
    </w:p>
    <w:p>
      <w:r>
        <w:t>Firebase CLI 15.30.2 und aktualisierte, festgeschriebene Abhängigkeiten beseitigen die zuvor hohe und kritische npm-Bewertung. Die CI blockiert hohe oder kritische Befunde im vollständigen Graph und in Produktionsabhängigkeiten. Sie archiviert zusätzlich den vollständigen Befund. Für die Emulatoren ist Java 21 erforderlich.</w:t>
      </w:r>
    </w:p>
    <w:p>
      <w:r>
        <w:t>Actions werden in den bearbeiteten CI-, Browser-, Release- und Security-Workflows mit Commit-SHA referenziert; das Node-Basisimage verwendet einen Digest. Wöchentliche Dependabot-Prüfungen erfassen npm, Actions und Docker. Es gibt keine automatische Merge-Freigabe. Die Testumgebung installiert nur Chromium; die vollständige Release-Prüfung führt den Accessibility-Test nicht zusätzlich ein zweites Mal aus.</w:t>
      </w:r>
    </w:p>
    <w:p>
      <w:r>
        <w:t>Diese Änderungen vermeiden konkrete Doppelarbeit und unkontrollierte Browser-Telemetrie. Eine Einsparung in Euro ist nicht nachgewiesen. Für belastbare TCO-Entscheidungen sind Kosten je erfolgreicher Kernaktion, KI-Aufrufkosten, Firestore-Lesezugriffe, Laufzeitressourcen und CI-Minuten gemeinsam mit den SLOs zu messen. Skalierungsparameter dürfen erst nach Last- und Ausfallmessungen angepasst werden.</w:t>
      </w:r>
    </w:p>
    <w:p>
      <w:pPr>
        <w:pStyle w:val="Heading1"/>
      </w:pPr>
      <w:r>
        <w:t>Verbleibende Freigabenachweise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5472"/>
        <w:gridCol w:w="2736"/>
      </w:tblGrid>
      <w:tr>
        <w:trPr>
          <w:cantSplit/>
          <w:tblHeader/>
        </w:trPr>
        <w:tc>
          <w:tcPr>
            <w:tcW w:type="dxa" w:w="1944"/>
            <w:vAlign w:val="center"/>
            <w:shd w:fill="E8EFF3"/>
            <w:tcMar>
              <w:top w:w="90" w:type="dxa"/>
              <w:bottom w:w="90" w:type="dxa"/>
              <w:start w:w="90" w:type="dxa"/>
              <w:end w:w="90" w:type="dxa"/>
            </w:tcMar>
          </w:tcPr>
          <w:p>
            <w:pPr>
              <w:spacing w:after="40" w:line="252" w:lineRule="auto"/>
            </w:pPr>
            <w:r>
              <w:rPr>
                <w:b/>
                <w:sz w:val="18"/>
              </w:rPr>
              <w:t>Bereich</w:t>
            </w:r>
          </w:p>
        </w:tc>
        <w:tc>
          <w:tcPr>
            <w:tcW w:type="dxa" w:w="5472"/>
            <w:vAlign w:val="center"/>
            <w:shd w:fill="E8EFF3"/>
            <w:tcMar>
              <w:top w:w="90" w:type="dxa"/>
              <w:bottom w:w="90" w:type="dxa"/>
              <w:start w:w="90" w:type="dxa"/>
              <w:end w:w="90" w:type="dxa"/>
            </w:tcMar>
          </w:tcPr>
          <w:p>
            <w:pPr>
              <w:spacing w:after="40" w:line="252" w:lineRule="auto"/>
            </w:pPr>
            <w:r>
              <w:rPr>
                <w:b/>
                <w:sz w:val="18"/>
              </w:rPr>
              <w:t>Offener Nachweis</w:t>
            </w:r>
          </w:p>
        </w:tc>
        <w:tc>
          <w:tcPr>
            <w:tcW w:type="dxa" w:w="2736"/>
            <w:vAlign w:val="center"/>
            <w:shd w:fill="E8EFF3"/>
            <w:tcMar>
              <w:top w:w="90" w:type="dxa"/>
              <w:bottom w:w="90" w:type="dxa"/>
              <w:start w:w="90" w:type="dxa"/>
              <w:end w:w="90" w:type="dxa"/>
            </w:tcMar>
          </w:tcPr>
          <w:p>
            <w:pPr>
              <w:spacing w:after="40" w:line="252" w:lineRule="auto"/>
            </w:pPr>
            <w:r>
              <w:rPr>
                <w:b/>
                <w:sz w:val="18"/>
              </w:rPr>
              <w:t>Verantwortliche Rolle</w:t>
            </w:r>
          </w:p>
        </w:tc>
      </w:tr>
      <w:tr>
        <w:trPr>
          <w:cantSplit/>
        </w:trPr>
        <w:tc>
          <w:tcPr>
            <w:tcW w:type="dxa" w:w="1944"/>
            <w:vAlign w:val="center"/>
            <w:shd w:fill="FFFFFF"/>
            <w:tcMar>
              <w:top w:w="90" w:type="dxa"/>
              <w:bottom w:w="90" w:type="dxa"/>
              <w:start w:w="90" w:type="dxa"/>
              <w:end w:w="90" w:type="dxa"/>
            </w:tcMar>
          </w:tcPr>
          <w:p>
            <w:pPr>
              <w:spacing w:after="40" w:line="252" w:lineRule="auto"/>
            </w:pPr>
            <w:r>
              <w:rPr>
                <w:b w:val="0"/>
                <w:sz w:val="18"/>
              </w:rPr>
              <w:t>Barrierefreiheit</w:t>
            </w:r>
          </w:p>
        </w:tc>
        <w:tc>
          <w:tcPr>
            <w:tcW w:type="dxa" w:w="5472"/>
            <w:vAlign w:val="center"/>
            <w:shd w:fill="FFFFFF"/>
            <w:tcMar>
              <w:top w:w="90" w:type="dxa"/>
              <w:bottom w:w="90" w:type="dxa"/>
              <w:start w:w="90" w:type="dxa"/>
              <w:end w:w="90" w:type="dxa"/>
            </w:tcMar>
          </w:tcPr>
          <w:p>
            <w:pPr>
              <w:spacing w:after="40" w:line="252" w:lineRule="auto"/>
            </w:pPr>
            <w:r>
              <w:rPr>
                <w:b w:val="0"/>
                <w:sz w:val="18"/>
              </w:rPr>
              <w:t>NVDA und VoiceOver, Tastatur und Reflow auf angemeldeten Seiten</w:t>
            </w:r>
          </w:p>
        </w:tc>
        <w:tc>
          <w:tcPr>
            <w:tcW w:type="dxa" w:w="2736"/>
            <w:vAlign w:val="center"/>
            <w:shd w:fill="FFFFFF"/>
            <w:tcMar>
              <w:top w:w="90" w:type="dxa"/>
              <w:bottom w:w="90" w:type="dxa"/>
              <w:start w:w="90" w:type="dxa"/>
              <w:end w:w="90" w:type="dxa"/>
            </w:tcMar>
          </w:tcPr>
          <w:p>
            <w:pPr>
              <w:spacing w:after="40" w:line="252" w:lineRule="auto"/>
            </w:pPr>
            <w:r>
              <w:rPr>
                <w:b w:val="0"/>
                <w:sz w:val="18"/>
              </w:rPr>
              <w:t>Accessibility und QA</w:t>
            </w:r>
          </w:p>
        </w:tc>
      </w:tr>
      <w:tr>
        <w:trPr>
          <w:cantSplit/>
        </w:trPr>
        <w:tc>
          <w:tcPr>
            <w:tcW w:type="dxa" w:w="1944"/>
            <w:vAlign w:val="center"/>
            <w:shd w:fill="FFFFFF"/>
            <w:tcMar>
              <w:top w:w="90" w:type="dxa"/>
              <w:bottom w:w="90" w:type="dxa"/>
              <w:start w:w="90" w:type="dxa"/>
              <w:end w:w="90" w:type="dxa"/>
            </w:tcMar>
          </w:tcPr>
          <w:p>
            <w:pPr>
              <w:spacing w:after="40" w:line="252" w:lineRule="auto"/>
            </w:pPr>
            <w:r>
              <w:rPr>
                <w:b w:val="0"/>
                <w:sz w:val="18"/>
              </w:rPr>
              <w:t>Kritische Abläufe</w:t>
            </w:r>
          </w:p>
        </w:tc>
        <w:tc>
          <w:tcPr>
            <w:tcW w:type="dxa" w:w="5472"/>
            <w:vAlign w:val="center"/>
            <w:shd w:fill="FFFFFF"/>
            <w:tcMar>
              <w:top w:w="90" w:type="dxa"/>
              <w:bottom w:w="90" w:type="dxa"/>
              <w:start w:w="90" w:type="dxa"/>
              <w:end w:w="90" w:type="dxa"/>
            </w:tcMar>
          </w:tcPr>
          <w:p>
            <w:pPr>
              <w:spacing w:after="40" w:line="252" w:lineRule="auto"/>
            </w:pPr>
            <w:r>
              <w:rPr>
                <w:b w:val="0"/>
                <w:sz w:val="18"/>
              </w:rPr>
              <w:t>Zwei Konten mit Kontakt und Chat; Meldung, Blockierung, Löschung, Zahlung und Verifikation</w:t>
            </w:r>
          </w:p>
        </w:tc>
        <w:tc>
          <w:tcPr>
            <w:tcW w:type="dxa" w:w="2736"/>
            <w:vAlign w:val="center"/>
            <w:shd w:fill="FFFFFF"/>
            <w:tcMar>
              <w:top w:w="90" w:type="dxa"/>
              <w:bottom w:w="90" w:type="dxa"/>
              <w:start w:w="90" w:type="dxa"/>
              <w:end w:w="90" w:type="dxa"/>
            </w:tcMar>
          </w:tcPr>
          <w:p>
            <w:pPr>
              <w:spacing w:after="40" w:line="252" w:lineRule="auto"/>
            </w:pPr>
            <w:r>
              <w:rPr>
                <w:b w:val="0"/>
                <w:sz w:val="18"/>
              </w:rPr>
              <w:t>Engineering und QA</w:t>
            </w:r>
          </w:p>
        </w:tc>
      </w:tr>
      <w:tr>
        <w:trPr>
          <w:cantSplit/>
        </w:trPr>
        <w:tc>
          <w:tcPr>
            <w:tcW w:type="dxa" w:w="1944"/>
            <w:vAlign w:val="center"/>
            <w:shd w:fill="FFFFFF"/>
            <w:tcMar>
              <w:top w:w="90" w:type="dxa"/>
              <w:bottom w:w="90" w:type="dxa"/>
              <w:start w:w="90" w:type="dxa"/>
              <w:end w:w="90" w:type="dxa"/>
            </w:tcMar>
          </w:tcPr>
          <w:p>
            <w:pPr>
              <w:spacing w:after="40" w:line="252" w:lineRule="auto"/>
            </w:pPr>
            <w:r>
              <w:rPr>
                <w:b w:val="0"/>
                <w:sz w:val="18"/>
              </w:rPr>
              <w:t>Plattform</w:t>
            </w:r>
          </w:p>
        </w:tc>
        <w:tc>
          <w:tcPr>
            <w:tcW w:type="dxa" w:w="5472"/>
            <w:vAlign w:val="center"/>
            <w:shd w:fill="FFFFFF"/>
            <w:tcMar>
              <w:top w:w="90" w:type="dxa"/>
              <w:bottom w:w="90" w:type="dxa"/>
              <w:start w:w="90" w:type="dxa"/>
              <w:end w:w="90" w:type="dxa"/>
            </w:tcMar>
          </w:tcPr>
          <w:p>
            <w:pPr>
              <w:spacing w:after="40" w:line="252" w:lineRule="auto"/>
            </w:pPr>
            <w:r>
              <w:rPr>
                <w:b w:val="0"/>
                <w:sz w:val="18"/>
              </w:rPr>
              <w:t>Branch- und Release-Schutz, IAM, Secret Manager, Alarmzustellung, TTL und Backups</w:t>
            </w:r>
          </w:p>
        </w:tc>
        <w:tc>
          <w:tcPr>
            <w:tcW w:type="dxa" w:w="2736"/>
            <w:vAlign w:val="center"/>
            <w:shd w:fill="FFFFFF"/>
            <w:tcMar>
              <w:top w:w="90" w:type="dxa"/>
              <w:bottom w:w="90" w:type="dxa"/>
              <w:start w:w="90" w:type="dxa"/>
              <w:end w:w="90" w:type="dxa"/>
            </w:tcMar>
          </w:tcPr>
          <w:p>
            <w:pPr>
              <w:spacing w:after="40" w:line="252" w:lineRule="auto"/>
            </w:pPr>
            <w:r>
              <w:rPr>
                <w:b w:val="0"/>
                <w:sz w:val="18"/>
              </w:rPr>
              <w:t>Plattformbetrieb</w:t>
            </w:r>
          </w:p>
        </w:tc>
      </w:tr>
      <w:tr>
        <w:trPr>
          <w:cantSplit/>
        </w:trPr>
        <w:tc>
          <w:tcPr>
            <w:tcW w:type="dxa" w:w="1944"/>
            <w:vAlign w:val="center"/>
            <w:shd w:fill="FFFFFF"/>
            <w:tcMar>
              <w:top w:w="90" w:type="dxa"/>
              <w:bottom w:w="90" w:type="dxa"/>
              <w:start w:w="90" w:type="dxa"/>
              <w:end w:w="90" w:type="dxa"/>
            </w:tcMar>
          </w:tcPr>
          <w:p>
            <w:pPr>
              <w:spacing w:after="40" w:line="252" w:lineRule="auto"/>
            </w:pPr>
            <w:r>
              <w:rPr>
                <w:b w:val="0"/>
                <w:sz w:val="18"/>
              </w:rPr>
              <w:t>Performance und TCO</w:t>
            </w:r>
          </w:p>
        </w:tc>
        <w:tc>
          <w:tcPr>
            <w:tcW w:type="dxa" w:w="5472"/>
            <w:vAlign w:val="center"/>
            <w:shd w:fill="FFFFFF"/>
            <w:tcMar>
              <w:top w:w="90" w:type="dxa"/>
              <w:bottom w:w="90" w:type="dxa"/>
              <w:start w:w="90" w:type="dxa"/>
              <w:end w:w="90" w:type="dxa"/>
            </w:tcMar>
          </w:tcPr>
          <w:p>
            <w:pPr>
              <w:spacing w:after="40" w:line="252" w:lineRule="auto"/>
            </w:pPr>
            <w:r>
              <w:rPr>
                <w:b w:val="0"/>
                <w:sz w:val="18"/>
              </w:rPr>
              <w:t>Kaltstart, Laststufen, Lastspitzen, Dauertest; Latenzen, Fehler und Kosten je Kernaktion</w:t>
            </w:r>
          </w:p>
        </w:tc>
        <w:tc>
          <w:tcPr>
            <w:tcW w:type="dxa" w:w="2736"/>
            <w:vAlign w:val="center"/>
            <w:shd w:fill="FFFFFF"/>
            <w:tcMar>
              <w:top w:w="90" w:type="dxa"/>
              <w:bottom w:w="90" w:type="dxa"/>
              <w:start w:w="90" w:type="dxa"/>
              <w:end w:w="90" w:type="dxa"/>
            </w:tcMar>
          </w:tcPr>
          <w:p>
            <w:pPr>
              <w:spacing w:after="40" w:line="252" w:lineRule="auto"/>
            </w:pPr>
            <w:r>
              <w:rPr>
                <w:b w:val="0"/>
                <w:sz w:val="18"/>
              </w:rPr>
              <w:t>SRE und Produkt</w:t>
            </w:r>
          </w:p>
        </w:tc>
      </w:tr>
      <w:tr>
        <w:trPr>
          <w:cantSplit/>
        </w:trPr>
        <w:tc>
          <w:tcPr>
            <w:tcW w:type="dxa" w:w="1944"/>
            <w:vAlign w:val="center"/>
            <w:shd w:fill="FFFFFF"/>
            <w:tcMar>
              <w:top w:w="90" w:type="dxa"/>
              <w:bottom w:w="90" w:type="dxa"/>
              <w:start w:w="90" w:type="dxa"/>
              <w:end w:w="90" w:type="dxa"/>
            </w:tcMar>
          </w:tcPr>
          <w:p>
            <w:pPr>
              <w:spacing w:after="40" w:line="252" w:lineRule="auto"/>
            </w:pPr>
            <w:r>
              <w:rPr>
                <w:b w:val="0"/>
                <w:sz w:val="18"/>
              </w:rPr>
              <w:t>Rechtliche Nachweise</w:t>
            </w:r>
          </w:p>
        </w:tc>
        <w:tc>
          <w:tcPr>
            <w:tcW w:type="dxa" w:w="5472"/>
            <w:vAlign w:val="center"/>
            <w:shd w:fill="FFFFFF"/>
            <w:tcMar>
              <w:top w:w="90" w:type="dxa"/>
              <w:bottom w:w="90" w:type="dxa"/>
              <w:start w:w="90" w:type="dxa"/>
              <w:end w:w="90" w:type="dxa"/>
            </w:tcMar>
          </w:tcPr>
          <w:p>
            <w:pPr>
              <w:spacing w:after="40" w:line="252" w:lineRule="auto"/>
            </w:pPr>
            <w:r>
              <w:rPr>
                <w:b w:val="0"/>
                <w:sz w:val="18"/>
              </w:rPr>
              <w:t>Dokumentinhalt und Hash, Schlüsselrotation, Aufbewahrung und geschütztes Archiv</w:t>
            </w:r>
          </w:p>
        </w:tc>
        <w:tc>
          <w:tcPr>
            <w:tcW w:type="dxa" w:w="2736"/>
            <w:vAlign w:val="center"/>
            <w:shd w:fill="FFFFFF"/>
            <w:tcMar>
              <w:top w:w="90" w:type="dxa"/>
              <w:bottom w:w="90" w:type="dxa"/>
              <w:start w:w="90" w:type="dxa"/>
              <w:end w:w="90" w:type="dxa"/>
            </w:tcMar>
          </w:tcPr>
          <w:p>
            <w:pPr>
              <w:spacing w:after="40" w:line="252" w:lineRule="auto"/>
            </w:pPr>
            <w:r>
              <w:rPr>
                <w:b w:val="0"/>
                <w:sz w:val="18"/>
              </w:rPr>
              <w:t>Security und Datenschutz</w:t>
            </w:r>
          </w:p>
        </w:tc>
      </w:tr>
      <w:tr>
        <w:trPr>
          <w:cantSplit/>
        </w:trPr>
        <w:tc>
          <w:tcPr>
            <w:tcW w:type="dxa" w:w="1944"/>
            <w:vAlign w:val="center"/>
            <w:shd w:fill="FFFFFF"/>
            <w:tcMar>
              <w:top w:w="90" w:type="dxa"/>
              <w:bottom w:w="90" w:type="dxa"/>
              <w:start w:w="90" w:type="dxa"/>
              <w:end w:w="90" w:type="dxa"/>
            </w:tcMar>
          </w:tcPr>
          <w:p>
            <w:pPr>
              <w:spacing w:after="40" w:line="252" w:lineRule="auto"/>
            </w:pPr>
            <w:r>
              <w:rPr>
                <w:b w:val="0"/>
                <w:sz w:val="18"/>
              </w:rPr>
              <w:t>Wiederherstellung</w:t>
            </w:r>
          </w:p>
        </w:tc>
        <w:tc>
          <w:tcPr>
            <w:tcW w:type="dxa" w:w="5472"/>
            <w:vAlign w:val="center"/>
            <w:shd w:fill="FFFFFF"/>
            <w:tcMar>
              <w:top w:w="90" w:type="dxa"/>
              <w:bottom w:w="90" w:type="dxa"/>
              <w:start w:w="90" w:type="dxa"/>
              <w:end w:w="90" w:type="dxa"/>
            </w:tcMar>
          </w:tcPr>
          <w:p>
            <w:pPr>
              <w:spacing w:after="40" w:line="252" w:lineRule="auto"/>
            </w:pPr>
            <w:r>
              <w:rPr>
                <w:b w:val="0"/>
                <w:sz w:val="18"/>
              </w:rPr>
              <w:t>Isolierter Restore und Rollback mit gemessenen RPO und RTO</w:t>
            </w:r>
          </w:p>
        </w:tc>
        <w:tc>
          <w:tcPr>
            <w:tcW w:type="dxa" w:w="2736"/>
            <w:vAlign w:val="center"/>
            <w:shd w:fill="FFFFFF"/>
            <w:tcMar>
              <w:top w:w="90" w:type="dxa"/>
              <w:bottom w:w="90" w:type="dxa"/>
              <w:start w:w="90" w:type="dxa"/>
              <w:end w:w="90" w:type="dxa"/>
            </w:tcMar>
          </w:tcPr>
          <w:p>
            <w:pPr>
              <w:spacing w:after="40" w:line="252" w:lineRule="auto"/>
            </w:pPr>
            <w:r>
              <w:rPr>
                <w:b w:val="0"/>
                <w:sz w:val="18"/>
              </w:rPr>
              <w:t>SRE</w:t>
            </w:r>
          </w:p>
        </w:tc>
      </w:tr>
      <w:tr>
        <w:trPr>
          <w:cantSplit/>
        </w:trPr>
        <w:tc>
          <w:tcPr>
            <w:tcW w:type="dxa" w:w="1944"/>
            <w:vAlign w:val="center"/>
            <w:shd w:fill="FFFFFF"/>
            <w:tcMar>
              <w:top w:w="90" w:type="dxa"/>
              <w:bottom w:w="90" w:type="dxa"/>
              <w:start w:w="90" w:type="dxa"/>
              <w:end w:w="90" w:type="dxa"/>
            </w:tcMar>
          </w:tcPr>
          <w:p>
            <w:pPr>
              <w:spacing w:after="40" w:line="252" w:lineRule="auto"/>
            </w:pPr>
            <w:r>
              <w:rPr>
                <w:b w:val="0"/>
                <w:sz w:val="18"/>
              </w:rPr>
              <w:t>Externe Prüfung</w:t>
            </w:r>
          </w:p>
        </w:tc>
        <w:tc>
          <w:tcPr>
            <w:tcW w:type="dxa" w:w="5472"/>
            <w:vAlign w:val="center"/>
            <w:shd w:fill="FFFFFF"/>
            <w:tcMar>
              <w:top w:w="90" w:type="dxa"/>
              <w:bottom w:w="90" w:type="dxa"/>
              <w:start w:w="90" w:type="dxa"/>
              <w:end w:w="90" w:type="dxa"/>
            </w:tcMar>
          </w:tcPr>
          <w:p>
            <w:pPr>
              <w:spacing w:after="40" w:line="252" w:lineRule="auto"/>
            </w:pPr>
            <w:r>
              <w:rPr>
                <w:b w:val="0"/>
                <w:sz w:val="18"/>
              </w:rPr>
              <w:t>Penetrationstest und Datenschutzfreigabe</w:t>
            </w:r>
          </w:p>
        </w:tc>
        <w:tc>
          <w:tcPr>
            <w:tcW w:type="dxa" w:w="2736"/>
            <w:vAlign w:val="center"/>
            <w:shd w:fill="FFFFFF"/>
            <w:tcMar>
              <w:top w:w="90" w:type="dxa"/>
              <w:bottom w:w="90" w:type="dxa"/>
              <w:start w:w="90" w:type="dxa"/>
              <w:end w:w="90" w:type="dxa"/>
            </w:tcMar>
          </w:tcPr>
          <w:p>
            <w:pPr>
              <w:spacing w:after="40" w:line="252" w:lineRule="auto"/>
            </w:pPr>
            <w:r>
              <w:rPr>
                <w:b w:val="0"/>
                <w:sz w:val="18"/>
              </w:rPr>
              <w:t>Security und Datenschutz</w:t>
            </w:r>
          </w:p>
        </w:tc>
      </w:tr>
    </w:tbl>
    <w:p>
      <w:pPr>
        <w:spacing w:after="20"/>
      </w:pPr>
    </w:p>
    <w:p>
      <w:r>
        <w:t>Die Rollen sind Zuständigkeitsvorschläge, keine benannten Freigaben. HMAC schützt signierte Felder vor unbemerkter Veränderung ohne Schlüsselbesitz. Die Signatur verhindert keine Löschung oder Neuschreibung durch privilegierte Personen mit Schlüsselzugriff. Deshalb ersetzen Transaktionen und Signaturen keine geprüfte Archivierungs- und Aufbewahrungslösung.</w:t>
      </w:r>
    </w:p>
    <w:p>
      <w:r>
        <w:t>Die sieben verbleibenden moderaten npm-Meldungen betreffen die Ketten um OpenTelemetry, csv-parse, stream-json und uuid sowie deren abhängige Pakete. Zwei Meldungen verbleiben im Produktionsgraph. Sie sind als offene Bewertung dokumentiert, nicht als genehmigte Ausnahme. Unsichere Major-Overrides oder ein Rückstieg auf die vom Audit vorgeschlagene ältere Firebase CLI werden nicht übernommen.</w:t>
      </w:r>
    </w:p>
    <w:p>
      <w:r>
        <w:t xml:space="preserve">Automatisierte Axe-, Kontrast- und Tastaturtests decken nur einen Teil der Barrierefreiheit ab. Eine Konformitätsbewertung erfordert zusätzlich fachkundige menschliche Prüfung, wie die </w:t>
      </w:r>
      <w:hyperlink r:id="rId11">
        <w:r>
          <w:rPr>
            <w:color w:val="174A6E"/>
          </w:rPr>
          <w:t>W3C-Evaluationshinweise</w:t>
        </w:r>
      </w:hyperlink>
      <w:r>
        <w:t xml:space="preserve"> erläutern. Ebenso sind grüne CI-Läufe kein Nachweis für Fehlerfreiheit sämtlicher Funktionen oder einen belastbaren Produktionsbetrieb.</w:t>
      </w:r>
    </w:p>
    <w:p>
      <w:pPr>
        <w:pStyle w:val="Heading1"/>
      </w:pPr>
      <w:r>
        <w:t>Nächste Schritte</w:t>
      </w:r>
    </w:p>
    <w:p>
      <w:pPr>
        <w:pStyle w:val="ListNumber"/>
      </w:pPr>
      <w:r>
        <w:t>PR 13 anhand des genauen Codekandidaten und der verknüpften Prüfungen unabhängig reviewen.</w:t>
      </w:r>
    </w:p>
    <w:p>
      <w:pPr>
        <w:pStyle w:val="ListNumber"/>
      </w:pPr>
      <w:r>
        <w:t>Die verbliebenen Produktabläufe und moderaten Abhängigkeiten mit reproduzierbaren Tests beziehungsweise einer konkreten Erreichbarkeitsbewertung schließen.</w:t>
      </w:r>
    </w:p>
    <w:p>
      <w:pPr>
        <w:pStyle w:val="ListNumber"/>
      </w:pPr>
      <w:r>
        <w:t>Den Betriebsnachweis in einer autorisierten Staging-Umgebung erheben und mit Messwerten, Datum und verantwortlicher Person ablegen.</w:t>
      </w:r>
    </w:p>
    <w:p>
      <w:pPr>
        <w:pStyle w:val="ListNumber"/>
      </w:pPr>
      <w:r>
        <w:t>Erst danach eine Pilot- oder Produktionsfreigabe mit nachgewiesenem Canary, Rollback, Alarmierung und Kostenlimits treffen.</w:t>
      </w:r>
    </w:p>
    <w:p>
      <w:r>
        <w:t xml:space="preserve">Aktuelle Freigabekriterien: </w:t>
      </w:r>
      <w:hyperlink r:id="rId12">
        <w:r>
          <w:rPr>
            <w:color w:val="174A6E"/>
          </w:rPr>
          <w:t>Projektstatus</w:t>
        </w:r>
      </w:hyperlink>
      <w:r>
        <w:t xml:space="preserve">. Einstieg für neue Entwickler: </w:t>
      </w:r>
      <w:hyperlink r:id="rId13">
        <w:r>
          <w:rPr>
            <w:color w:val="174A6E"/>
          </w:rPr>
          <w:t>Entwicklerdokumentation</w:t>
        </w:r>
      </w:hyperlink>
      <w:r>
        <w:t xml:space="preserve">. Historische Gesamtbewertung: </w:t>
      </w:r>
      <w:hyperlink r:id="rId14">
        <w:r>
          <w:rPr>
            <w:color w:val="174A6E"/>
          </w:rPr>
          <w:t>Audit vom 20 September</w:t>
        </w:r>
      </w:hyperlink>
      <w:r>
        <w:t xml:space="preserve">. Änderungen und Diskussion: </w:t>
      </w:r>
      <w:hyperlink r:id="rId15">
        <w:r>
          <w:rPr>
            <w:color w:val="174A6E"/>
          </w:rPr>
          <w:t>PR 13</w:t>
        </w:r>
      </w:hyperlink>
      <w:r>
        <w: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64" w:lineRule="auto"/>
      <w:outlineLvl w:val="0"/>
    </w:pPr>
    <w:rPr>
      <w:rFonts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4" w:lineRule="auto" w:before="200"/>
      <w:contextualSpacing/>
    </w:pPr>
    <w:rPr>
      <w:rFonts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veselin8606-source/Klar-App/actions/runs/35630837390" TargetMode="External"/><Relationship Id="rId10" Type="http://schemas.openxmlformats.org/officeDocument/2006/relationships/hyperlink" Target="https://github.com/veselin8606-source/Klar-App/actions/runs/35630837241" TargetMode="External"/><Relationship Id="rId11" Type="http://schemas.openxmlformats.org/officeDocument/2006/relationships/hyperlink" Target="https://www.w3.org/WAI/test-evaluate/" TargetMode="External"/><Relationship Id="rId12" Type="http://schemas.openxmlformats.org/officeDocument/2006/relationships/hyperlink" Target="https://github.com/veselin8606-source/Klar-App/blob/fix/enterprise-p1-p2-closure/docs/PROJECT_STATUS.md" TargetMode="External"/><Relationship Id="rId13" Type="http://schemas.openxmlformats.org/officeDocument/2006/relationships/hyperlink" Target="https://github.com/veselin8606-source/Klar-App/blob/fix/enterprise-p1-p2-closure/docs/DEVELOPMENT.md" TargetMode="External"/><Relationship Id="rId14" Type="http://schemas.openxmlformats.org/officeDocument/2006/relationships/hyperlink" Target="https://github.com/veselin8606-source/Klar-App/blob/fix/enterprise-p1-p2-closure/docs/END_TO_END_AUDIT_2026-09-20.md" TargetMode="External"/><Relationship Id="rId15" Type="http://schemas.openxmlformats.org/officeDocument/2006/relationships/hyperlink" Target="https://github.com/veselin8606-source/Klar-App/pull/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Klar App Auditfortschritt</dc:title>
  <dc:subject>Prüfergebnisse und offene Freigabenachweise vom 21 September 2026</dc:subject>
  <dc:creator>Klar Projekt</dc:creator>
  <cp:keywords/>
  <dc:description>generated by python-docx</dc:description>
  <cp:lastModifiedBy/>
  <cp:revision>1</cp:revision>
  <dcterms:created xsi:type="dcterms:W3CDTF">2013-12-23T23:15:00Z</dcterms:created>
  <dcterms:modified xsi:type="dcterms:W3CDTF">2013-12-23T23:15:00Z</dcterms:modified>
  <cp:category/>
</cp:coreProperties>
</file>