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Klar v149</w:t>
        <w:br/>
      </w:r>
      <w:r>
        <w:rPr>
          <w:b/>
          <w:sz w:val="36"/>
        </w:rPr>
        <w:t>Enterprise End-to-End Audit &amp; Remediation Report</w:t>
      </w:r>
    </w:p>
    <w:p>
      <w:pPr>
        <w:jc w:val="center"/>
      </w:pPr>
      <w:r>
        <w:t>Auditdatum: 7. Oktober 2026</w:t>
        <w:br/>
      </w:r>
      <w:r>
        <w:t>Rolle: Principal Full-Stack Engineer / Lead DevSecOps / Enterprise Architect</w:t>
        <w:br/>
      </w:r>
      <w:r>
        <w:t>Scope: Repository-Head im bereitgestellten v149-Projektarchiv</w:t>
      </w:r>
    </w:p>
    <w:p/>
    <w:p>
      <w:pPr>
        <w:jc w:val="center"/>
      </w:pPr>
      <w:r>
        <w:rPr>
          <w:b/>
          <w:sz w:val="26"/>
        </w:rPr>
        <w:t>RELEASE STATUS: NICHT FÜR PRODUKTION FREIGEGEBEN</w:t>
      </w:r>
    </w:p>
    <w:p>
      <w:r>
        <w:br w:type="page"/>
      </w:r>
    </w:p>
    <w:p>
      <w:pPr>
        <w:pStyle w:val="Heading1"/>
      </w:pPr>
      <w:r>
        <w:t>1. Management Summary</w:t>
      </w:r>
    </w:p>
    <w:p>
      <w:r>
        <w:t>Der Audit hat vier für den beauftragten Scope relevante Ursachenbereiche bestätigt und remediert: die doppelte Altersberechnung und uneindeutige Payload-Grenze, die Vermischung fachlicher und technischer UI-Fehlerzustände, die warnende AuthClaims-Validierung sowie eine nicht explizit genug dokumentierte Browser-Security-Policy. Die Änderungen wurden direkt im Quellcode umgesetzt und durch statische bzw. syntaktische Prüfungen nachverifiziert.</w:t>
      </w:r>
    </w:p>
    <w:p>
      <w:r>
        <w:t>Die serverseitige Altersprüfung bleibt die alleinige fachliche Autorität. Der öffentliche Vertrag von /api/account/alter akzeptiert nun ausschließlich ISO-8601-Kalendertage (YYYY-MM-DD) und verwendet stabile Fehlercodes. Ein Minderjährigenfall wird als 422 UNDERAGE_RESTRICTION behandelt; ein bereits gesperrtes Konto erhält 403 UNDERAGE_ACCOUNT_LOCKED. Die UI zeigt diese Zustände inline und verwendet die Netzwerkfehlermeldung nicht mehr als Sammelzustand.</w:t>
      </w:r>
    </w:p>
    <w:p>
      <w:r>
        <w:t>Eine uneingeschränkte Go-Live-Freigabe kann aus diesem Runner nicht erteilt werden. Der Projekt-Typecheck, Vitest, Vite-Build, Playwright/E2E, Emulator-Suiten und Cloud-/Promotion-Evidence sind wegen fehlender Projektabhängigkeiten bzw. fehlender geschützter CI-/Cloud-Umgebung nicht ausführbar. Diese Punkte sind als BLOCKED und nicht als PASS zu werten.</w:t>
      </w:r>
    </w:p>
    <w:p>
      <w:pPr>
        <w:pStyle w:val="Heading2"/>
      </w:pPr>
      <w:r>
        <w:t>Risikobewertung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Vor Remediation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Nach Remediation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Residual Risk</w:t>
            </w:r>
          </w:p>
        </w:tc>
      </w:tr>
      <w:tr>
        <w:tc>
          <w:tcPr>
            <w:tcW w:type="dxa" w:w="2520"/>
            <w:vAlign w:val="top"/>
          </w:tcPr>
          <w:p>
            <w:r>
              <w:t>Alter / API-Vertrag</w:t>
            </w:r>
          </w:p>
        </w:tc>
        <w:tc>
          <w:tcPr>
            <w:tcW w:type="dxa" w:w="2520"/>
            <w:vAlign w:val="top"/>
          </w:tcPr>
          <w:p>
            <w:r>
              <w:t>Hoch</w:t>
            </w:r>
          </w:p>
        </w:tc>
        <w:tc>
          <w:tcPr>
            <w:tcW w:type="dxa" w:w="2520"/>
            <w:vAlign w:val="top"/>
          </w:tcPr>
          <w:p>
            <w:r>
              <w:t>Deutlich reduziert</w:t>
            </w:r>
          </w:p>
        </w:tc>
        <w:tc>
          <w:tcPr>
            <w:tcW w:type="dxa" w:w="2520"/>
            <w:vAlign w:val="top"/>
          </w:tcPr>
          <w:p>
            <w:r>
              <w:t>CI/E2E muss exact-head bestätigt werden</w:t>
            </w:r>
          </w:p>
        </w:tc>
      </w:tr>
      <w:tr>
        <w:tc>
          <w:tcPr>
            <w:tcW w:type="dxa" w:w="2520"/>
            <w:vAlign w:val="top"/>
          </w:tcPr>
          <w:p>
            <w:r>
              <w:t>UI-Fehlerzustände</w:t>
            </w:r>
          </w:p>
        </w:tc>
        <w:tc>
          <w:tcPr>
            <w:tcW w:type="dxa" w:w="2520"/>
            <w:vAlign w:val="top"/>
          </w:tcPr>
          <w:p>
            <w:r>
              <w:t>Mittel</w:t>
            </w:r>
          </w:p>
        </w:tc>
        <w:tc>
          <w:tcPr>
            <w:tcW w:type="dxa" w:w="2520"/>
            <w:vAlign w:val="top"/>
          </w:tcPr>
          <w:p>
            <w:r>
              <w:t>Reduziert</w:t>
            </w:r>
          </w:p>
        </w:tc>
        <w:tc>
          <w:tcPr>
            <w:tcW w:type="dxa" w:w="2520"/>
            <w:vAlign w:val="top"/>
          </w:tcPr>
          <w:p>
            <w:r>
              <w:t>Runtime-E2E fehlt im Runner</w:t>
            </w:r>
          </w:p>
        </w:tc>
      </w:tr>
      <w:tr>
        <w:tc>
          <w:tcPr>
            <w:tcW w:type="dxa" w:w="2520"/>
            <w:vAlign w:val="top"/>
          </w:tcPr>
          <w:p>
            <w:r>
              <w:t>AuthClaims-Konsole</w:t>
            </w:r>
          </w:p>
        </w:tc>
        <w:tc>
          <w:tcPr>
            <w:tcW w:type="dxa" w:w="2520"/>
            <w:vAlign w:val="top"/>
          </w:tcPr>
          <w:p>
            <w:r>
              <w:t>Mittel</w:t>
            </w:r>
          </w:p>
        </w:tc>
        <w:tc>
          <w:tcPr>
            <w:tcW w:type="dxa" w:w="2520"/>
            <w:vAlign w:val="top"/>
          </w:tcPr>
          <w:p>
            <w:r>
              <w:t>Reduziert</w:t>
            </w:r>
          </w:p>
        </w:tc>
        <w:tc>
          <w:tcPr>
            <w:tcW w:type="dxa" w:w="2520"/>
            <w:vAlign w:val="top"/>
          </w:tcPr>
          <w:p>
            <w:r>
              <w:t>Provider-/Claim-Matrix in CI ausführen</w:t>
            </w:r>
          </w:p>
        </w:tc>
      </w:tr>
      <w:tr>
        <w:tc>
          <w:tcPr>
            <w:tcW w:type="dxa" w:w="2520"/>
            <w:vAlign w:val="top"/>
          </w:tcPr>
          <w:p>
            <w:r>
              <w:t>CSP / Permissions-Policy</w:t>
            </w:r>
          </w:p>
        </w:tc>
        <w:tc>
          <w:tcPr>
            <w:tcW w:type="dxa" w:w="2520"/>
            <w:vAlign w:val="top"/>
          </w:tcPr>
          <w:p>
            <w:r>
              <w:t>Mittel</w:t>
            </w:r>
          </w:p>
        </w:tc>
        <w:tc>
          <w:tcPr>
            <w:tcW w:type="dxa" w:w="2520"/>
            <w:vAlign w:val="top"/>
          </w:tcPr>
          <w:p>
            <w:r>
              <w:t>Reduziert</w:t>
            </w:r>
          </w:p>
        </w:tc>
        <w:tc>
          <w:tcPr>
            <w:tcW w:type="dxa" w:w="2520"/>
            <w:vAlign w:val="top"/>
          </w:tcPr>
          <w:p>
            <w:r>
              <w:t>Produktions-Browsermessung fehlt</w:t>
            </w:r>
          </w:p>
        </w:tc>
      </w:tr>
      <w:tr>
        <w:tc>
          <w:tcPr>
            <w:tcW w:type="dxa" w:w="2520"/>
            <w:vAlign w:val="top"/>
          </w:tcPr>
          <w:p>
            <w:r>
              <w:t>Go-Live / Release</w:t>
            </w:r>
          </w:p>
        </w:tc>
        <w:tc>
          <w:tcPr>
            <w:tcW w:type="dxa" w:w="2520"/>
            <w:vAlign w:val="top"/>
          </w:tcPr>
          <w:p>
            <w:r>
              <w:t>Kritisch</w:t>
            </w:r>
          </w:p>
        </w:tc>
        <w:tc>
          <w:tcPr>
            <w:tcW w:type="dxa" w:w="2520"/>
            <w:vAlign w:val="top"/>
          </w:tcPr>
          <w:p>
            <w:r>
              <w:t>BLOCKED</w:t>
            </w:r>
          </w:p>
        </w:tc>
        <w:tc>
          <w:tcPr>
            <w:tcW w:type="dxa" w:w="2520"/>
            <w:vAlign w:val="top"/>
          </w:tcPr>
          <w:p>
            <w:r>
              <w:t>Protected CI, Cloud-Evidence, Approval fehlen</w:t>
            </w:r>
          </w:p>
        </w:tc>
      </w:tr>
    </w:tbl>
    <w:p>
      <w:pPr>
        <w:pStyle w:val="Heading1"/>
      </w:pPr>
      <w:r>
        <w:t>2. Root Cause Analysis (RCA)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Fehler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Fix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Nachweis</w:t>
            </w:r>
          </w:p>
        </w:tc>
      </w:tr>
      <w:tr>
        <w:tc>
          <w:tcPr>
            <w:tcW w:type="dxa" w:w="2520"/>
            <w:vAlign w:val="top"/>
          </w:tcPr>
          <w:p>
            <w:r>
              <w:t>A — 400/404 bzw. Payload-Mismatch</w:t>
            </w:r>
          </w:p>
        </w:tc>
        <w:tc>
          <w:tcPr>
            <w:tcW w:type="dxa" w:w="2520"/>
            <w:vAlign w:val="top"/>
          </w:tcPr>
          <w:p>
            <w:r>
              <w:t>Mehrere Validierungsautoritäten; Client rechnete Alter selbst, Server hatte eigene Engine; unterschiedliche Datumsdarstellungen.</w:t>
            </w:r>
          </w:p>
        </w:tc>
        <w:tc>
          <w:tcPr>
            <w:tcW w:type="dxa" w:w="2520"/>
            <w:vAlign w:val="top"/>
          </w:tcPr>
          <w:p>
            <w:r>
              <w:t>Zod-Grenze auf YYYY-MM-DD, server-authoritative Age Engine, stabile Fehlercodes und dedizierte API-Tests.</w:t>
            </w:r>
          </w:p>
        </w:tc>
        <w:tc>
          <w:tcPr>
            <w:tcW w:type="dxa" w:w="2520"/>
            <w:vAlign w:val="top"/>
          </w:tcPr>
          <w:p>
            <w:r>
              <w:t>accountAlter.spec.ts; statische Syntaxprüfung; bestehende Age-Gate-Tests.</w:t>
            </w:r>
          </w:p>
        </w:tc>
      </w:tr>
      <w:tr>
        <w:tc>
          <w:tcPr>
            <w:tcW w:type="dxa" w:w="2520"/>
            <w:vAlign w:val="top"/>
          </w:tcPr>
          <w:p>
            <w:r>
              <w:t>B — „Keine Verbindung“ bei Fachfehlern</w:t>
            </w:r>
          </w:p>
        </w:tc>
        <w:tc>
          <w:tcPr>
            <w:tcW w:type="dxa" w:w="2520"/>
            <w:vAlign w:val="top"/>
          </w:tcPr>
          <w:p>
            <w:r>
              <w:t>Catch-Pfad behandelte fachliche HTTP-Fehler und echte Fetch-/Netzwerkfehler zu ähnlich.</w:t>
            </w:r>
          </w:p>
        </w:tc>
        <w:tc>
          <w:tcPr>
            <w:tcW w:type="dxa" w:w="2520"/>
            <w:vAlign w:val="top"/>
          </w:tcPr>
          <w:p>
            <w:r>
              <w:t>Mapping nach API-Code/HTTP-Status: invalid, underage, locked, rate-limit, service, offline.</w:t>
            </w:r>
          </w:p>
        </w:tc>
        <w:tc>
          <w:tcPr>
            <w:tcW w:type="dxa" w:w="2520"/>
            <w:vAlign w:val="top"/>
          </w:tcPr>
          <w:p>
            <w:r>
              <w:t>EinwilligungUndAlter.tsx; Locale-Katalog; i18n-Prüfung PASS.</w:t>
            </w:r>
          </w:p>
        </w:tc>
      </w:tr>
      <w:tr>
        <w:tc>
          <w:tcPr>
            <w:tcW w:type="dxa" w:w="2520"/>
            <w:vAlign w:val="top"/>
          </w:tcPr>
          <w:p>
            <w:r>
              <w:t>C — AuthClaims validation warning</w:t>
            </w:r>
          </w:p>
        </w:tc>
        <w:tc>
          <w:tcPr>
            <w:tcW w:type="dxa" w:w="2520"/>
            <w:vAlign w:val="top"/>
          </w:tcPr>
          <w:p>
            <w:r>
              <w:t>Optional/custom Firebase Claims konnten das lokale Schema verletzen; Validator loggte die Zod-Fehler als Browser-Warnung.</w:t>
            </w:r>
          </w:p>
        </w:tc>
        <w:tc>
          <w:tcPr>
            <w:tcW w:type="dxa" w:w="2520"/>
            <w:vAlign w:val="top"/>
          </w:tcPr>
          <w:p>
            <w:r>
              <w:t>Defensive Normalisierung optionaler Claims; privilegierte Booleans nur typkorrekt; keine Produktions-Warnung.</w:t>
            </w:r>
          </w:p>
        </w:tc>
        <w:tc>
          <w:tcPr>
            <w:tcW w:type="dxa" w:w="2520"/>
            <w:vAlign w:val="top"/>
          </w:tcPr>
          <w:p>
            <w:r>
              <w:t>authSessionSchema.spec.ts; Syntaxprüfung.</w:t>
            </w:r>
          </w:p>
        </w:tc>
      </w:tr>
      <w:tr>
        <w:tc>
          <w:tcPr>
            <w:tcW w:type="dxa" w:w="2520"/>
            <w:vAlign w:val="top"/>
          </w:tcPr>
          <w:p>
            <w:r>
              <w:t>C — CSP / Permissions-Policy</w:t>
            </w:r>
          </w:p>
        </w:tc>
        <w:tc>
          <w:tcPr>
            <w:tcW w:type="dxa" w:w="2520"/>
            <w:vAlign w:val="top"/>
          </w:tcPr>
          <w:p>
            <w:r>
              <w:t>Browser-Policy war historisch über mehrere Pfade verteilt; Permissions-Policy war nicht explizit an reale Media-Flows gekoppelt.</w:t>
            </w:r>
          </w:p>
        </w:tc>
        <w:tc>
          <w:tcPr>
            <w:tcW w:type="dxa" w:w="2520"/>
            <w:vAlign w:val="top"/>
          </w:tcPr>
          <w:p>
            <w:r>
              <w:t>Explizites worker-src, nicht-inline script-src, explizite Permissions-Policy mit camera/microphone self und geolocation disabled.</w:t>
            </w:r>
          </w:p>
        </w:tc>
        <w:tc>
          <w:tcPr>
            <w:tcW w:type="dxa" w:w="2520"/>
            <w:vAlign w:val="top"/>
          </w:tcPr>
          <w:p>
            <w:r>
              <w:t>check:csp PASS; Header-Code statisch geprüft.</w:t>
            </w:r>
          </w:p>
        </w:tc>
      </w:tr>
      <w:tr>
        <w:tc>
          <w:tcPr>
            <w:tcW w:type="dxa" w:w="2520"/>
            <w:vAlign w:val="top"/>
          </w:tcPr>
          <w:p>
            <w:r>
              <w:t>D — Alter-Edge-Cases</w:t>
            </w:r>
          </w:p>
        </w:tc>
        <w:tc>
          <w:tcPr>
            <w:tcW w:type="dxa" w:w="2520"/>
            <w:vAlign w:val="top"/>
          </w:tcPr>
          <w:p>
            <w:r>
              <w:t>Client-Approximation mit 365.25 Tagen konnte von gesetzlicher Kalenderlogik abweichen.</w:t>
            </w:r>
          </w:p>
        </w:tc>
        <w:tc>
          <w:tcPr>
            <w:tcW w:type="dxa" w:w="2520"/>
            <w:vAlign w:val="top"/>
          </w:tcPr>
          <w:p>
            <w:r>
              <w:t>Client-Altersrechnung entfernt; Server nutzt Europe/Berlin-Kalendertag und §188-Logik für 29.02.</w:t>
            </w:r>
          </w:p>
        </w:tc>
        <w:tc>
          <w:tcPr>
            <w:tcW w:type="dxa" w:w="2520"/>
            <w:vAlign w:val="top"/>
          </w:tcPr>
          <w:p>
            <w:r>
              <w:t>bestehende Age-Gate-Regressionen; statische Codeprüfung.</w:t>
            </w:r>
          </w:p>
        </w:tc>
      </w:tr>
    </w:tbl>
    <w:p>
      <w:pPr>
        <w:pStyle w:val="Heading1"/>
      </w:pPr>
      <w:r>
        <w:t>3. API-, Auth- und Security-Remediation</w:t>
      </w:r>
    </w:p>
    <w:p>
      <w:pPr>
        <w:pStyle w:val="Heading2"/>
      </w:pPr>
      <w:r>
        <w:t>3.1 /api/account/alter</w:t>
      </w:r>
    </w:p>
    <w:p>
      <w:r>
        <w:t>Der Route-Adapter validiert den Request vor dem Domain-Handler mit Zod und lehnt nicht-kanonische Datumsstrings ab. Die unterliegende Age Engine behält die robuste Kalenderprüfung, Zukunftsprüfung, Plausibilitätsgrenze und Minderjährigen-Sperre. Dadurch ist die externe API deterministisch, während die fachliche Prüfung weiterhin zentral bleibt.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520"/>
            <w:shd w:fill="E7E6E6"/>
            <w:vAlign w:val="center"/>
          </w:tcPr>
          <w:p>
            <w:r>
              <w:rPr>
                <w:b/>
              </w:rPr>
              <w:t>UI-Verhalten</w:t>
            </w:r>
          </w:p>
        </w:tc>
      </w:tr>
      <w:tr>
        <w:tc>
          <w:tcPr>
            <w:tcW w:type="dxa" w:w="2520"/>
            <w:vAlign w:val="top"/>
          </w:tcPr>
          <w:p>
            <w:r>
              <w:t>Gültiger Erwachsener</w:t>
            </w:r>
          </w:p>
        </w:tc>
        <w:tc>
          <w:tcPr>
            <w:tcW w:type="dxa" w:w="2520"/>
            <w:vAlign w:val="top"/>
          </w:tcPr>
          <w:p>
            <w:r>
              <w:t>200</w:t>
            </w:r>
          </w:p>
        </w:tc>
        <w:tc>
          <w:tcPr>
            <w:tcW w:type="dxa" w:w="2520"/>
            <w:vAlign w:val="top"/>
          </w:tcPr>
          <w:p>
            <w:r>
              <w:t>ok=true</w:t>
            </w:r>
          </w:p>
        </w:tc>
        <w:tc>
          <w:tcPr>
            <w:tcW w:type="dxa" w:w="2520"/>
            <w:vAlign w:val="top"/>
          </w:tcPr>
          <w:p>
            <w:r>
              <w:t>Weiter zum Einwilligungsschritt</w:t>
            </w:r>
          </w:p>
        </w:tc>
      </w:tr>
      <w:tr>
        <w:tc>
          <w:tcPr>
            <w:tcW w:type="dxa" w:w="2520"/>
            <w:vAlign w:val="top"/>
          </w:tcPr>
          <w:p>
            <w:r>
              <w:t>Nicht-ISO-Payload</w:t>
            </w:r>
          </w:p>
        </w:tc>
        <w:tc>
          <w:tcPr>
            <w:tcW w:type="dxa" w:w="2520"/>
            <w:vAlign w:val="top"/>
          </w:tcPr>
          <w:p>
            <w:r>
              <w:t>400</w:t>
            </w:r>
          </w:p>
        </w:tc>
        <w:tc>
          <w:tcPr>
            <w:tcW w:type="dxa" w:w="2520"/>
            <w:vAlign w:val="top"/>
          </w:tcPr>
          <w:p>
            <w:r>
              <w:t>INVALID_DATE_FORMAT</w:t>
            </w:r>
          </w:p>
        </w:tc>
        <w:tc>
          <w:tcPr>
            <w:tcW w:type="dxa" w:w="2520"/>
            <w:vAlign w:val="top"/>
          </w:tcPr>
          <w:p>
            <w:r>
              <w:t>Inline-Validierungsfehler</w:t>
            </w:r>
          </w:p>
        </w:tc>
      </w:tr>
      <w:tr>
        <w:tc>
          <w:tcPr>
            <w:tcW w:type="dxa" w:w="2520"/>
            <w:vAlign w:val="top"/>
          </w:tcPr>
          <w:p>
            <w:r>
              <w:t>Ungültiger Kalendertag</w:t>
            </w:r>
          </w:p>
        </w:tc>
        <w:tc>
          <w:tcPr>
            <w:tcW w:type="dxa" w:w="2520"/>
            <w:vAlign w:val="top"/>
          </w:tcPr>
          <w:p>
            <w:r>
              <w:t>400</w:t>
            </w:r>
          </w:p>
        </w:tc>
        <w:tc>
          <w:tcPr>
            <w:tcW w:type="dxa" w:w="2520"/>
            <w:vAlign w:val="top"/>
          </w:tcPr>
          <w:p>
            <w:r>
              <w:t>INVALID_BIRTHDATE</w:t>
            </w:r>
          </w:p>
        </w:tc>
        <w:tc>
          <w:tcPr>
            <w:tcW w:type="dxa" w:w="2520"/>
            <w:vAlign w:val="top"/>
          </w:tcPr>
          <w:p>
            <w:r>
              <w:t>Inline-Validierungsfehler</w:t>
            </w:r>
          </w:p>
        </w:tc>
      </w:tr>
      <w:tr>
        <w:tc>
          <w:tcPr>
            <w:tcW w:type="dxa" w:w="2520"/>
            <w:vAlign w:val="top"/>
          </w:tcPr>
          <w:p>
            <w:r>
              <w:t>Zukunftsdatum</w:t>
            </w:r>
          </w:p>
        </w:tc>
        <w:tc>
          <w:tcPr>
            <w:tcW w:type="dxa" w:w="2520"/>
            <w:vAlign w:val="top"/>
          </w:tcPr>
          <w:p>
            <w:r>
              <w:t>400</w:t>
            </w:r>
          </w:p>
        </w:tc>
        <w:tc>
          <w:tcPr>
            <w:tcW w:type="dxa" w:w="2520"/>
            <w:vAlign w:val="top"/>
          </w:tcPr>
          <w:p>
            <w:r>
              <w:t>INVALID_BIRTHDATE_FUTURE</w:t>
            </w:r>
          </w:p>
        </w:tc>
        <w:tc>
          <w:tcPr>
            <w:tcW w:type="dxa" w:w="2520"/>
            <w:vAlign w:val="top"/>
          </w:tcPr>
          <w:p>
            <w:r>
              <w:t>Inline-Validierungsfehler</w:t>
            </w:r>
          </w:p>
        </w:tc>
      </w:tr>
      <w:tr>
        <w:tc>
          <w:tcPr>
            <w:tcW w:type="dxa" w:w="2520"/>
            <w:vAlign w:val="top"/>
          </w:tcPr>
          <w:p>
            <w:r>
              <w:t>Unplausibles Alter</w:t>
            </w:r>
          </w:p>
        </w:tc>
        <w:tc>
          <w:tcPr>
            <w:tcW w:type="dxa" w:w="2520"/>
            <w:vAlign w:val="top"/>
          </w:tcPr>
          <w:p>
            <w:r>
              <w:t>400</w:t>
            </w:r>
          </w:p>
        </w:tc>
        <w:tc>
          <w:tcPr>
            <w:tcW w:type="dxa" w:w="2520"/>
            <w:vAlign w:val="top"/>
          </w:tcPr>
          <w:p>
            <w:r>
              <w:t>INVALID_BIRTHDATE_PLAUSIBILITY</w:t>
            </w:r>
          </w:p>
        </w:tc>
        <w:tc>
          <w:tcPr>
            <w:tcW w:type="dxa" w:w="2520"/>
            <w:vAlign w:val="top"/>
          </w:tcPr>
          <w:p>
            <w:r>
              <w:t>Inline-Validierungsfehler</w:t>
            </w:r>
          </w:p>
        </w:tc>
      </w:tr>
      <w:tr>
        <w:tc>
          <w:tcPr>
            <w:tcW w:type="dxa" w:w="2520"/>
            <w:vAlign w:val="top"/>
          </w:tcPr>
          <w:p>
            <w:r>
              <w:t>Unter 18</w:t>
            </w:r>
          </w:p>
        </w:tc>
        <w:tc>
          <w:tcPr>
            <w:tcW w:type="dxa" w:w="2520"/>
            <w:vAlign w:val="top"/>
          </w:tcPr>
          <w:p>
            <w:r>
              <w:t>422</w:t>
            </w:r>
          </w:p>
        </w:tc>
        <w:tc>
          <w:tcPr>
            <w:tcW w:type="dxa" w:w="2520"/>
            <w:vAlign w:val="top"/>
          </w:tcPr>
          <w:p>
            <w:r>
              <w:t>UNDERAGE_RESTRICTION</w:t>
            </w:r>
          </w:p>
        </w:tc>
        <w:tc>
          <w:tcPr>
            <w:tcW w:type="dxa" w:w="2520"/>
            <w:vAlign w:val="top"/>
          </w:tcPr>
          <w:p>
            <w:r>
              <w:t>Fachliche Sperrmeldung</w:t>
            </w:r>
          </w:p>
        </w:tc>
      </w:tr>
      <w:tr>
        <w:tc>
          <w:tcPr>
            <w:tcW w:type="dxa" w:w="2520"/>
            <w:vAlign w:val="top"/>
          </w:tcPr>
          <w:p>
            <w:r>
              <w:t>Bereits gesperrtes Konto</w:t>
            </w:r>
          </w:p>
        </w:tc>
        <w:tc>
          <w:tcPr>
            <w:tcW w:type="dxa" w:w="2520"/>
            <w:vAlign w:val="top"/>
          </w:tcPr>
          <w:p>
            <w:r>
              <w:t>403</w:t>
            </w:r>
          </w:p>
        </w:tc>
        <w:tc>
          <w:tcPr>
            <w:tcW w:type="dxa" w:w="2520"/>
            <w:vAlign w:val="top"/>
          </w:tcPr>
          <w:p>
            <w:r>
              <w:t>UNDERAGE_ACCOUNT_LOCKED</w:t>
            </w:r>
          </w:p>
        </w:tc>
        <w:tc>
          <w:tcPr>
            <w:tcW w:type="dxa" w:w="2520"/>
            <w:vAlign w:val="top"/>
          </w:tcPr>
          <w:p>
            <w:r>
              <w:t>Account-Sperrmeldung</w:t>
            </w:r>
          </w:p>
        </w:tc>
      </w:tr>
      <w:tr>
        <w:tc>
          <w:tcPr>
            <w:tcW w:type="dxa" w:w="2520"/>
            <w:vAlign w:val="top"/>
          </w:tcPr>
          <w:p>
            <w:r>
              <w:t>Rate Limit</w:t>
            </w:r>
          </w:p>
        </w:tc>
        <w:tc>
          <w:tcPr>
            <w:tcW w:type="dxa" w:w="2520"/>
            <w:vAlign w:val="top"/>
          </w:tcPr>
          <w:p>
            <w:r>
              <w:t>429</w:t>
            </w:r>
          </w:p>
        </w:tc>
        <w:tc>
          <w:tcPr>
            <w:tcW w:type="dxa" w:w="2520"/>
            <w:vAlign w:val="top"/>
          </w:tcPr>
          <w:p>
            <w:r>
              <w:t>Limiter-Fehler</w:t>
            </w:r>
          </w:p>
        </w:tc>
        <w:tc>
          <w:tcPr>
            <w:tcW w:type="dxa" w:w="2520"/>
            <w:vAlign w:val="top"/>
          </w:tcPr>
          <w:p>
            <w:r>
              <w:t>Rate-Limit-Hinweis</w:t>
            </w:r>
          </w:p>
        </w:tc>
      </w:tr>
      <w:tr>
        <w:tc>
          <w:tcPr>
            <w:tcW w:type="dxa" w:w="2520"/>
            <w:vAlign w:val="top"/>
          </w:tcPr>
          <w:p>
            <w:r>
              <w:t>Server-/Storage-Ausfall</w:t>
            </w:r>
          </w:p>
        </w:tc>
        <w:tc>
          <w:tcPr>
            <w:tcW w:type="dxa" w:w="2520"/>
            <w:vAlign w:val="top"/>
          </w:tcPr>
          <w:p>
            <w:r>
              <w:t>5xx</w:t>
            </w:r>
          </w:p>
        </w:tc>
        <w:tc>
          <w:tcPr>
            <w:tcW w:type="dxa" w:w="2520"/>
            <w:vAlign w:val="top"/>
          </w:tcPr>
          <w:p>
            <w:r>
              <w:t>Service-Fehler</w:t>
            </w:r>
          </w:p>
        </w:tc>
        <w:tc>
          <w:tcPr>
            <w:tcW w:type="dxa" w:w="2520"/>
            <w:vAlign w:val="top"/>
          </w:tcPr>
          <w:p>
            <w:r>
              <w:t>Technischer Servicehinweis</w:t>
            </w:r>
          </w:p>
        </w:tc>
      </w:tr>
    </w:tbl>
    <w:p>
      <w:pPr>
        <w:pStyle w:val="Heading2"/>
      </w:pPr>
      <w:r>
        <w:t>3.2 AuthClaims und Session Hygiene</w:t>
      </w:r>
    </w:p>
    <w:p>
      <w:r>
        <w:t>Die Client-Validierung behandelt Firebase provider metadata als nicht-autorisierende Zusatzinformation. UID wird deterministisch aus uid/user_id/sub abgeleitet. Optionale Claim-Typen werden vor der Zod-Prüfung normalisiert. Falsch typisierte admin/moderator-Werte werden nicht in privilegierte Entscheidungen überführt. Damit wird Fail-Closed bei Autorisierung mit Console-Zero-Verhalten kombiniert.</w:t>
      </w:r>
    </w:p>
    <w:p>
      <w:pPr>
        <w:pStyle w:val="Heading2"/>
      </w:pPr>
      <w:r>
        <w:t>3.3 CSP und Permissions-Policy</w:t>
      </w:r>
    </w:p>
    <w:p>
      <w:r>
        <w:t>Die produktive Helmet-CSP enthält explizit worker-src 'self' blob:, während script-src kein unsafe-inline enthält. Die explizite Permissions-Policy erlaubt camera=(self) und microphone=(self), weil die Anwendung user-initiierte Verifikation und Audioaufnahme verwendet, deaktiviert aber geolocation=(). Obsolete audio/unload-Featureangaben werden nicht verwendet.</w:t>
      </w:r>
    </w:p>
    <w:p>
      <w:pPr>
        <w:pStyle w:val="Heading1"/>
      </w:pPr>
      <w:r>
        <w:t>4. Test- und Verifikationsmatrix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7E6E6"/>
            <w:vAlign w:val="center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3360"/>
            <w:shd w:fill="E7E6E6"/>
            <w:vAlign w:val="center"/>
          </w:tcPr>
          <w:p>
            <w:r>
              <w:rPr>
                <w:b/>
              </w:rPr>
              <w:t>Ergebnis</w:t>
            </w:r>
          </w:p>
        </w:tc>
        <w:tc>
          <w:tcPr>
            <w:tcW w:type="dxa" w:w="3360"/>
            <w:shd w:fill="E7E6E6"/>
            <w:vAlign w:val="center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3360"/>
            <w:vAlign w:val="top"/>
          </w:tcPr>
          <w:p>
            <w:r>
              <w:t>Geänderte TS/TSX-Dateien — Syntax/Transpilation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8 geänderte Dateien ohne Syntaxdiagnose</w:t>
            </w:r>
          </w:p>
        </w:tc>
      </w:tr>
      <w:tr>
        <w:tc>
          <w:tcPr>
            <w:tcW w:type="dxa" w:w="3360"/>
            <w:vAlign w:val="top"/>
          </w:tcPr>
          <w:p>
            <w:r>
              <w:t>i18n-Katalog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265 Keys/Interpolationen konsistent</w:t>
            </w:r>
          </w:p>
        </w:tc>
      </w:tr>
      <w:tr>
        <w:tc>
          <w:tcPr>
            <w:tcW w:type="dxa" w:w="3360"/>
            <w:vAlign w:val="top"/>
          </w:tcPr>
          <w:p>
            <w:r>
              <w:t>Naming Gate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423 Dateien, keine undefinierte Verwendung</w:t>
            </w:r>
          </w:p>
        </w:tc>
      </w:tr>
      <w:tr>
        <w:tc>
          <w:tcPr>
            <w:tcW w:type="dxa" w:w="3360"/>
            <w:vAlign w:val="top"/>
          </w:tcPr>
          <w:p>
            <w:r>
              <w:t>Accessible Labels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0 unbeschriftete Buttons</w:t>
            </w:r>
          </w:p>
        </w:tc>
      </w:tr>
      <w:tr>
        <w:tc>
          <w:tcPr>
            <w:tcW w:type="dxa" w:w="3360"/>
            <w:vAlign w:val="top"/>
          </w:tcPr>
          <w:p>
            <w:r>
              <w:t>CSP directive inventory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12/12 Direktiven vorhanden</w:t>
            </w:r>
          </w:p>
        </w:tc>
      </w:tr>
      <w:tr>
        <w:tc>
          <w:tcPr>
            <w:tcW w:type="dxa" w:w="3360"/>
            <w:vAlign w:val="top"/>
          </w:tcPr>
          <w:p>
            <w:r>
              <w:t>Art. 17 deletion audit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0 unentschiedene Collections</w:t>
            </w:r>
          </w:p>
        </w:tc>
      </w:tr>
      <w:tr>
        <w:tc>
          <w:tcPr>
            <w:tcW w:type="dxa" w:w="3360"/>
            <w:vAlign w:val="top"/>
          </w:tcPr>
          <w:p>
            <w:r>
              <w:t>Deletion cascade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33 gelöscht / 12 behalten / 0 offen</w:t>
            </w:r>
          </w:p>
        </w:tc>
      </w:tr>
      <w:tr>
        <w:tc>
          <w:tcPr>
            <w:tcW w:type="dxa" w:w="3360"/>
            <w:vAlign w:val="top"/>
          </w:tcPr>
          <w:p>
            <w:r>
              <w:t>Deployment manifests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Manifest-Prüfung erfolgreich</w:t>
            </w:r>
          </w:p>
        </w:tc>
      </w:tr>
      <w:tr>
        <w:tc>
          <w:tcPr>
            <w:tcW w:type="dxa" w:w="3360"/>
            <w:vAlign w:val="top"/>
          </w:tcPr>
          <w:p>
            <w:r>
              <w:t>Container build contract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10 Invarianten</w:t>
            </w:r>
          </w:p>
        </w:tc>
      </w:tr>
      <w:tr>
        <w:tc>
          <w:tcPr>
            <w:tcW w:type="dxa" w:w="3360"/>
            <w:vAlign w:val="top"/>
          </w:tcPr>
          <w:p>
            <w:r>
              <w:t>Locale prohibited-term scan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  <w:tc>
          <w:tcPr>
            <w:tcW w:type="dxa" w:w="3360"/>
            <w:vAlign w:val="top"/>
          </w:tcPr>
          <w:p>
            <w:r>
              <w:t>0 Treffer in de/en/es/fr-Werten</w:t>
            </w:r>
          </w:p>
        </w:tc>
      </w:tr>
      <w:tr>
        <w:tc>
          <w:tcPr>
            <w:tcW w:type="dxa" w:w="3360"/>
            <w:vAlign w:val="top"/>
          </w:tcPr>
          <w:p>
            <w:r>
              <w:t>Vitest / targeted tests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vitest nicht installiert</w:t>
            </w:r>
          </w:p>
        </w:tc>
      </w:tr>
      <w:tr>
        <w:tc>
          <w:tcPr>
            <w:tcW w:type="dxa" w:w="3360"/>
            <w:vAlign w:val="top"/>
          </w:tcPr>
          <w:p>
            <w:r>
              <w:t>npm run typecheck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vite/vitest/jest-dom Typdefinitionen fehlen</w:t>
            </w:r>
          </w:p>
        </w:tc>
      </w:tr>
      <w:tr>
        <w:tc>
          <w:tcPr>
            <w:tcW w:type="dxa" w:w="3360"/>
            <w:vAlign w:val="top"/>
          </w:tcPr>
          <w:p>
            <w:r>
              <w:t>Vite production build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vite nicht installiert</w:t>
            </w:r>
          </w:p>
        </w:tc>
      </w:tr>
      <w:tr>
        <w:tc>
          <w:tcPr>
            <w:tcW w:type="dxa" w:w="3360"/>
            <w:vAlign w:val="top"/>
          </w:tcPr>
          <w:p>
            <w:r>
              <w:t>Bundle budget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dist fehlt wegen Build-Blockade</w:t>
            </w:r>
          </w:p>
        </w:tc>
      </w:tr>
      <w:tr>
        <w:tc>
          <w:tcPr>
            <w:tcW w:type="dxa" w:w="3360"/>
            <w:vAlign w:val="top"/>
          </w:tcPr>
          <w:p>
            <w:r>
              <w:t>Guardrail script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glob-Paket fehlt</w:t>
            </w:r>
          </w:p>
        </w:tc>
      </w:tr>
      <w:tr>
        <w:tc>
          <w:tcPr>
            <w:tcW w:type="dxa" w:w="3360"/>
            <w:vAlign w:val="top"/>
          </w:tcPr>
          <w:p>
            <w:r>
              <w:t>Playwright / E2E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Projektabhängigkeiten fehlen</w:t>
            </w:r>
          </w:p>
        </w:tc>
      </w:tr>
      <w:tr>
        <w:tc>
          <w:tcPr>
            <w:tcW w:type="dxa" w:w="3360"/>
            <w:vAlign w:val="top"/>
          </w:tcPr>
          <w:p>
            <w:r>
              <w:t>Firebase emulator tests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Firebase CLI/Emulatoren fehlen</w:t>
            </w:r>
          </w:p>
        </w:tc>
      </w:tr>
      <w:tr>
        <w:tc>
          <w:tcPr>
            <w:tcW w:type="dxa" w:w="3360"/>
            <w:vAlign w:val="top"/>
          </w:tcPr>
          <w:p>
            <w:r>
              <w:t>Production promotion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Protected CI/cloud evidence fehlt</w:t>
            </w:r>
          </w:p>
        </w:tc>
      </w:tr>
    </w:tbl>
    <w:p>
      <w:pPr>
        <w:pStyle w:val="Heading1"/>
      </w:pPr>
      <w:r>
        <w:t>5. Regression Coverage</w:t>
      </w:r>
    </w:p>
    <w:p>
      <w:r>
        <w:t>Neu hinzugekommen ist tests/accountAlter.spec.ts mit drei API-Vertragsfällen: 200 für einen erwachsenen ISO-Datensatz, 422 mit UNDERAGE_RESTRICTION sowie 400 für DD.MM.YYYY vor dem Domain-Processing. Die bestehende Enterprise-Age-Gate-Suite deckt zusätzlich exaktes 18. Lebensjahr, Minderjährige, Zukunft, ungültige Kalendertage, Plausibilitätsgrenze und Lockdown-/Purge-Verhalten ab.</w:t>
      </w:r>
    </w:p>
    <w:p>
      <w:r>
        <w:t>Die Ausführung dieser Tests ist in diesem Runner nicht möglich, weil vitest und die übrigen projekt-spezifischen Dependencies nicht installiert sind. Die Tests wurden daher als Quellcode ergänzt und syntaktisch validiert, aber nicht fälschlich als ausgeführt ausgewiesen.</w:t>
      </w:r>
    </w:p>
    <w:p>
      <w:pPr>
        <w:pStyle w:val="Heading1"/>
      </w:pPr>
      <w:r>
        <w:t>6. Security, Governance &amp; Compliance</w:t>
      </w:r>
    </w:p>
    <w:p>
      <w:r>
        <w:t>Die bestehende Auth-Grenze bleibt serverautoritativ: Firebase Admin verifyIdToken steht vor den geschützten API-Routen. Die Logout-Härtung aus dem v149-Vorlauf bleibt erhalten: Refresh-Token-Revoke, FCM-Token-Cleanup, Cookie-Clear, UID-scoped browser cleanup und deterministische Login-Navigation.</w:t>
      </w:r>
    </w:p>
    <w:p>
      <w:r>
        <w:t>Die Art.-17-Löschkaskade wurde ebenfalls nachgezogen: account_deletion_rate_limits ist als UID-abgeleiteter Abuse-Prevention-Zustand explizit katalogisiert und wird bei Kontolöschung entfernt. Der Audit meldet 0 unentschiedene Server-Collections.</w:t>
      </w:r>
    </w:p>
    <w:p>
      <w:r>
        <w:t>Go-Live bleibt Governance-seitig blockiert, weil ein lokaler Archiv-Runner weder geschützte Branch-/Review-Kontrollen noch reale Cloud-IAM-, Deployment-, Backup-/Restore-, SLO- und immutable-image Evidence ersetzen darf.</w:t>
      </w:r>
    </w:p>
    <w:p>
      <w:pPr>
        <w:pStyle w:val="Heading1"/>
      </w:pPr>
      <w:r>
        <w:t>7. SRE- &amp; Betreiber-Leitfaden</w:t>
      </w:r>
    </w:p>
    <w:p>
      <w:pPr>
        <w:pStyle w:val="Heading2"/>
      </w:pPr>
      <w:r>
        <w:t>Monitoring</w:t>
      </w:r>
    </w:p>
    <w:p>
      <w:pPr>
        <w:pStyle w:val="ListBullet"/>
      </w:pPr>
      <w:r>
        <w:t>HTTP 400/422/403 auf /api/account/alter nach code gruppieren; ein Anstieg von INVALID_BIRTHDATE ist UX-/Client-Signal, UNDERAGE_RESTRICTION ist fachlicher Traffic.</w:t>
      </w:r>
    </w:p>
    <w:p>
      <w:pPr>
        <w:pStyle w:val="ListBullet"/>
      </w:pPr>
      <w:r>
        <w:t>5xx und 503 für Altersprüfung getrennt von 4xx alarmieren. 503 weist auf Persistenz-/Serviceprobleme hin.</w:t>
      </w:r>
    </w:p>
    <w:p>
      <w:pPr>
        <w:pStyle w:val="ListBullet"/>
      </w:pPr>
      <w:r>
        <w:t>Auth-Fehler nach 401/409/5xx und Request-ID korrelieren; keine Tokens oder Geburtsdaten in Logs aufnehmen.</w:t>
      </w:r>
    </w:p>
    <w:p>
      <w:pPr>
        <w:pStyle w:val="ListBullet"/>
      </w:pPr>
      <w:r>
        <w:t>CSP Reports bzw. Browser-Synthetics für Google Auth, Firebase WebChannel und Worker-Initialisierung überwachen.</w:t>
      </w:r>
    </w:p>
    <w:p>
      <w:pPr>
        <w:pStyle w:val="ListBullet"/>
      </w:pPr>
      <w:r>
        <w:t>Permissions-Policy-Regressionen mit einem Browser-Synthetic für Kamera/Mikrofon und einem Negativtest für Geolocation überwachen.</w:t>
      </w:r>
    </w:p>
    <w:p>
      <w:pPr>
        <w:pStyle w:val="Heading2"/>
      </w:pPr>
      <w:r>
        <w:t>Logging</w:t>
      </w:r>
    </w:p>
    <w:p>
      <w:pPr>
        <w:pStyle w:val="ListBullet"/>
      </w:pPr>
      <w:r>
        <w:t>Strukturierte Events mit requestId/traceId, Route, Status und Latenz; personenbezogene Inhalte minimieren.</w:t>
      </w:r>
    </w:p>
    <w:p>
      <w:pPr>
        <w:pStyle w:val="ListBullet"/>
      </w:pPr>
      <w:r>
        <w:t>Age-Audit nur über den bestehenden tamper-evident Digest referenzieren; Geburtsdatum nicht in Applikationslogs schreiben.</w:t>
      </w:r>
    </w:p>
    <w:p>
      <w:pPr>
        <w:pStyle w:val="ListBullet"/>
      </w:pPr>
      <w:r>
        <w:t>AuthClaims-Malformed-Daten nicht als Browser-Warnung ausgeben; bei Bedarf serverseitig aggregierte Metriken ohne Claim-Payload verwenden.</w:t>
      </w:r>
    </w:p>
    <w:p>
      <w:pPr>
        <w:pStyle w:val="Heading2"/>
      </w:pPr>
      <w:r>
        <w:t>TCO / Betriebskennzahlen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  <w:vAlign w:val="center"/>
          </w:tcPr>
          <w:p>
            <w:r>
              <w:rPr>
                <w:b/>
              </w:rPr>
              <w:t>Kennzahl</w:t>
            </w:r>
          </w:p>
        </w:tc>
        <w:tc>
          <w:tcPr>
            <w:tcW w:type="dxa" w:w="5040"/>
            <w:shd w:fill="E7E6E6"/>
            <w:vAlign w:val="center"/>
          </w:tcPr>
          <w:p>
            <w:r>
              <w:rPr>
                <w:b/>
              </w:rPr>
              <w:t>Empfehlung</w:t>
            </w:r>
          </w:p>
        </w:tc>
      </w:tr>
      <w:tr>
        <w:tc>
          <w:tcPr>
            <w:tcW w:type="dxa" w:w="5040"/>
            <w:vAlign w:val="top"/>
          </w:tcPr>
          <w:p>
            <w:r>
              <w:t>Age API 4xx</w:t>
            </w:r>
          </w:p>
        </w:tc>
        <w:tc>
          <w:tcPr>
            <w:tcW w:type="dxa" w:w="5040"/>
            <w:vAlign w:val="top"/>
          </w:tcPr>
          <w:p>
            <w:r>
              <w:t>Rate pro 1.000 Age-Gate-Versuche; Segmentierung nach Code</w:t>
            </w:r>
          </w:p>
        </w:tc>
      </w:tr>
      <w:tr>
        <w:tc>
          <w:tcPr>
            <w:tcW w:type="dxa" w:w="5040"/>
            <w:vAlign w:val="top"/>
          </w:tcPr>
          <w:p>
            <w:r>
              <w:t>Age API 5xx</w:t>
            </w:r>
          </w:p>
        </w:tc>
        <w:tc>
          <w:tcPr>
            <w:tcW w:type="dxa" w:w="5040"/>
            <w:vAlign w:val="top"/>
          </w:tcPr>
          <w:p>
            <w:r>
              <w:t>Fehlerrate &lt;0,1 % Zielwert; sofortiger Alarm bei sustained spike</w:t>
            </w:r>
          </w:p>
        </w:tc>
      </w:tr>
      <w:tr>
        <w:tc>
          <w:tcPr>
            <w:tcW w:type="dxa" w:w="5040"/>
            <w:vAlign w:val="top"/>
          </w:tcPr>
          <w:p>
            <w:r>
              <w:t>Auth 401</w:t>
            </w:r>
          </w:p>
        </w:tc>
        <w:tc>
          <w:tcPr>
            <w:tcW w:type="dxa" w:w="5040"/>
            <w:vAlign w:val="top"/>
          </w:tcPr>
          <w:p>
            <w:r>
              <w:t>Baseline je Release vergleichen; Spike nach Deployment untersuchen</w:t>
            </w:r>
          </w:p>
        </w:tc>
      </w:tr>
      <w:tr>
        <w:tc>
          <w:tcPr>
            <w:tcW w:type="dxa" w:w="5040"/>
            <w:vAlign w:val="top"/>
          </w:tcPr>
          <w:p>
            <w:r>
              <w:t>CSP violations</w:t>
            </w:r>
          </w:p>
        </w:tc>
        <w:tc>
          <w:tcPr>
            <w:tcW w:type="dxa" w:w="5040"/>
            <w:vAlign w:val="top"/>
          </w:tcPr>
          <w:p>
            <w:r>
              <w:t>Release-Regressionstest plus Browser-Synthetic</w:t>
            </w:r>
          </w:p>
        </w:tc>
      </w:tr>
      <w:tr>
        <w:tc>
          <w:tcPr>
            <w:tcW w:type="dxa" w:w="5040"/>
            <w:vAlign w:val="top"/>
          </w:tcPr>
          <w:p>
            <w:r>
              <w:t>Build/Test duration</w:t>
            </w:r>
          </w:p>
        </w:tc>
        <w:tc>
          <w:tcPr>
            <w:tcW w:type="dxa" w:w="5040"/>
            <w:vAlign w:val="top"/>
          </w:tcPr>
          <w:p>
            <w:r>
              <w:t>CI p50/p95 erfassen; Dependencies deterministisch aus Lockfiles installieren</w:t>
            </w:r>
          </w:p>
        </w:tc>
      </w:tr>
      <w:tr>
        <w:tc>
          <w:tcPr>
            <w:tcW w:type="dxa" w:w="5040"/>
            <w:vAlign w:val="top"/>
          </w:tcPr>
          <w:p>
            <w:r>
              <w:t>Rollback readiness</w:t>
            </w:r>
          </w:p>
        </w:tc>
        <w:tc>
          <w:tcPr>
            <w:tcW w:type="dxa" w:w="5040"/>
            <w:vAlign w:val="top"/>
          </w:tcPr>
          <w:p>
            <w:r>
              <w:t>Immutable image + release identity + verified rollback revision vor Promotion</w:t>
            </w:r>
          </w:p>
        </w:tc>
      </w:tr>
    </w:tbl>
    <w:p>
      <w:pPr>
        <w:pStyle w:val="Heading1"/>
      </w:pPr>
      <w:r>
        <w:t>8. Go-Live-Freigabeempfehlung</w:t>
      </w:r>
    </w:p>
    <w:p>
      <w:r>
        <w:t>EMPFEHLUNG: NO-GO / BLOCKED. Die implementierten Code-Remediations sind für den beauftragten Scope abgeschlossen und statisch verifiziert. Eine Produktionsfreigabe wäre jedoch fachlich nicht belastbar, solange die exakte Dependency-Installation, TypeScript-Kompilierung, Unit-/Integrationstests, Playwright, Production Build/Bundle, Emulator-/Smoke-Tests und die geschützte Cloud-Promotion-Evidence nicht auf dem identischen Commit erfolgreich vorliegen.</w:t>
      </w:r>
    </w:p>
    <w:p>
      <w:r>
        <w:t>Keine Produktionspromotion wurde aus diesem Runner durchgeführt oder simuliert. Fehlende CI-/Cloud-Nachweise wurden nicht erfunden.</w:t>
      </w:r>
    </w:p>
    <w:p>
      <w:pPr>
        <w:pStyle w:val="Heading1"/>
      </w:pPr>
      <w:r>
        <w:t>9. Übergabe / geänderte Dateien</w:t>
      </w:r>
    </w:p>
    <w:p>
      <w:pPr>
        <w:pStyle w:val="ListBullet"/>
      </w:pPr>
      <w:r>
        <w:t>src/server/routes/account.ts</w:t>
      </w:r>
    </w:p>
    <w:p>
      <w:pPr>
        <w:pStyle w:val="ListBullet"/>
      </w:pPr>
      <w:r>
        <w:t>src/server/datenschutz.ts</w:t>
      </w:r>
    </w:p>
    <w:p>
      <w:pPr>
        <w:pStyle w:val="ListBullet"/>
      </w:pPr>
      <w:r>
        <w:t>src/components/EinwilligungUndAlter.tsx</w:t>
      </w:r>
    </w:p>
    <w:p>
      <w:pPr>
        <w:pStyle w:val="ListBullet"/>
      </w:pPr>
      <w:r>
        <w:t>src/i18n/locales/de.json</w:t>
      </w:r>
    </w:p>
    <w:p>
      <w:pPr>
        <w:pStyle w:val="ListBullet"/>
      </w:pPr>
      <w:r>
        <w:t>src/i18n/locales/en.json</w:t>
      </w:r>
    </w:p>
    <w:p>
      <w:pPr>
        <w:pStyle w:val="ListBullet"/>
      </w:pPr>
      <w:r>
        <w:t>src/i18n/locales/es.json</w:t>
      </w:r>
    </w:p>
    <w:p>
      <w:pPr>
        <w:pStyle w:val="ListBullet"/>
      </w:pPr>
      <w:r>
        <w:t>src/i18n/locales/fr.json</w:t>
      </w:r>
    </w:p>
    <w:p>
      <w:pPr>
        <w:pStyle w:val="ListBullet"/>
      </w:pPr>
      <w:r>
        <w:t>src/lib/authSessionSchema.ts</w:t>
      </w:r>
    </w:p>
    <w:p>
      <w:pPr>
        <w:pStyle w:val="ListBullet"/>
      </w:pPr>
      <w:r>
        <w:t>server.ts</w:t>
      </w:r>
    </w:p>
    <w:p>
      <w:pPr>
        <w:pStyle w:val="ListBullet"/>
      </w:pPr>
      <w:r>
        <w:t>src/server/securityHeaders.ts</w:t>
      </w:r>
    </w:p>
    <w:p>
      <w:pPr>
        <w:pStyle w:val="ListBullet"/>
      </w:pPr>
      <w:r>
        <w:t>tests/accountAlter.spec.ts</w:t>
      </w:r>
    </w:p>
    <w:p>
      <w:pPr>
        <w:pStyle w:val="ListBullet"/>
      </w:pPr>
      <w:r>
        <w:t>tests/authSessionSchema.spec.ts</w:t>
      </w:r>
    </w:p>
    <w:p>
      <w:pPr>
        <w:pStyle w:val="ListBullet"/>
      </w:pPr>
      <w:r>
        <w:t>docs/RELEASE_HARDENING_2026-10-07_v149.md</w:t>
      </w:r>
    </w:p>
    <w:p>
      <w:pPr>
        <w:pStyle w:val="ListBullet"/>
      </w:pPr>
      <w:r>
        <w:t>docs/PROJECT_STATUS.md</w:t>
      </w:r>
    </w:p>
    <w:p/>
    <w:p>
      <w:r>
        <w:rPr>
          <w:b/>
        </w:rPr>
        <w:t xml:space="preserve">Audit-Einschränkung: </w:t>
      </w:r>
      <w:r>
        <w:t>Das bereitgestellte Repository-Archiv enthält keine .git-Metadaten. Ein upstream `git status` kann daher nicht attestiert werden. Die Dateihygiene wurde separat geprüft.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