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7D05F">
      <w:pPr>
        <w:spacing w:after="60"/>
        <w:jc w:val="center"/>
      </w:pPr>
      <w:r>
        <w:rPr>
          <w:rFonts w:ascii="Calibri" w:hAnsi="Calibri" w:eastAsia="微软雅黑"/>
          <w:b/>
          <w:i w:val="0"/>
          <w:color w:val="0B2545"/>
          <w:sz w:val="40"/>
        </w:rPr>
        <w:t>AI</w:t>
      </w:r>
      <w:r>
        <w:rPr>
          <w:rFonts w:hint="eastAsia" w:ascii="Calibri" w:hAnsi="Calibri"/>
          <w:b/>
          <w:i w:val="0"/>
          <w:color w:val="0B2545"/>
          <w:sz w:val="40"/>
          <w:lang w:val="en-US" w:eastAsia="zh-CN"/>
        </w:rPr>
        <w:t xml:space="preserve"> for Research</w:t>
      </w:r>
      <w:r>
        <w:rPr>
          <w:rFonts w:ascii="Calibri" w:hAnsi="Calibri" w:eastAsia="微软雅黑"/>
          <w:b/>
          <w:i w:val="0"/>
          <w:color w:val="0B2545"/>
          <w:sz w:val="40"/>
        </w:rPr>
        <w:t>赛道｜算法赛初赛方案大纲</w:t>
      </w:r>
    </w:p>
    <w:p w14:paraId="6EC02D40">
      <w:pPr>
        <w:pStyle w:val="3"/>
      </w:pPr>
      <w:r>
        <w:t>一、项目概述</w:t>
      </w:r>
    </w:p>
    <w:p w14:paraId="5A5B4A87">
      <w:pPr>
        <w:pStyle w:val="4"/>
      </w:pPr>
      <w:r>
        <w:t>1.1 项目名称</w:t>
      </w:r>
    </w:p>
    <w:p w14:paraId="797BFFE7">
      <w:pPr>
        <w:spacing w:after="100"/>
        <w:ind w:firstLine="210" w:firstLineChars="10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面向小样本蛋白质组扰动预测的结构感知虚拟酵母模型</w:t>
      </w:r>
    </w:p>
    <w:p w14:paraId="4E8C4087">
      <w:pPr>
        <w:pStyle w:val="4"/>
      </w:pPr>
      <w:r>
        <w:t>1.2 参赛方向</w:t>
      </w:r>
    </w:p>
    <w:p w14:paraId="2E224787">
      <w:pPr>
        <w:spacing w:after="10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="微软雅黑" w:hAnsi="微软雅黑" w:eastAsia="微软雅黑" w:cstheme="minorBidi"/>
          <w:sz w:val="21"/>
          <w:szCs w:val="22"/>
          <w:lang w:val="en-US" w:eastAsia="zh-CN" w:bidi="ar-SA"/>
        </w:rPr>
        <w:t>AI for Research 算法赛：虚拟细胞（酵母扰动响应预测）方向</w:t>
      </w:r>
    </w:p>
    <w:p w14:paraId="5586175B">
      <w:pPr>
        <w:pStyle w:val="4"/>
      </w:pPr>
      <w:r>
        <w:t>1.3 方案概述</w:t>
      </w:r>
    </w:p>
    <w:p w14:paraId="03CDCA9E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本项目研究在有限酵母扰动实验下，预测不同菌株、化合物和时间条件对应的全蛋白质组绝对丰度。方案采用分层自适应建模：Condition MLP 提供高精度样本级预测；ES-IFM 对化合物主效应、菌株效应与低秩交互响应进行显式分解，并通过仅使用训练集伪冷启动样本学习的场景门控接入主模型；对完全未见化合物，再以强正则分子结构核提供小样本冷启动估计。当前已在官方新化合物、新菌株、双重未知和时间插值划分上完成验证。</w:t>
      </w:r>
    </w:p>
    <w:p w14:paraId="0DB562A3">
      <w:pPr>
        <w:pStyle w:val="3"/>
      </w:pPr>
      <w:r>
        <w:t>二、科学问题理解</w:t>
      </w:r>
    </w:p>
    <w:p w14:paraId="2CB04FF0">
      <w:pPr>
        <w:pStyle w:val="4"/>
      </w:pPr>
      <w:r>
        <w:t>2.1 科学问题与研究对象</w:t>
      </w:r>
    </w:p>
    <w:p w14:paraId="06F6218B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研究对象是化学扰动后的酵母蛋白质组。输入包括菌株、培养基、化合物、浓度、处理时间和实验批次等条件，预测目标为 4,232 个蛋白的绝对 log2 丰度。训练数据维度高、缺失较多、样本量相对有限，测试条件还可能出现训练阶段未见的菌株或化合物。因此，模型不仅要拟合已知条件，也要学习可迁移的扰动规律。</w:t>
      </w:r>
    </w:p>
    <w:p w14:paraId="3B58D0D4">
      <w:pPr>
        <w:pStyle w:val="4"/>
      </w:pPr>
      <w:r>
        <w:t>2.2 科学意义</w:t>
      </w:r>
    </w:p>
    <w:p w14:paraId="63436D61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可靠的虚拟酵母模型可在真实实验前筛选值得验证的化合物与条件，降低蛋白质组实验成本，并帮助分析扰动响应的主要来源。本项目特别关注新化合物冷启动：若能利用分子结构预测未见化合物的响应，可将模型从条件记忆推进到具有一定结构外推能力的虚拟细胞工具。</w:t>
      </w:r>
    </w:p>
    <w:p w14:paraId="278636F0">
      <w:r>
        <w:br w:type="page"/>
      </w:r>
    </w:p>
    <w:p w14:paraId="05E34B78">
      <w:pPr>
        <w:pStyle w:val="3"/>
      </w:pPr>
      <w:r>
        <w:t>三、技术方案与预期方法路线</w:t>
      </w:r>
    </w:p>
    <w:p w14:paraId="368D8F12">
      <w:pPr>
        <w:pStyle w:val="4"/>
      </w:pPr>
      <w:r>
        <w:t>3.1 技术方案</w:t>
      </w:r>
    </w:p>
    <w:p w14:paraId="76515DE1">
      <w:pPr>
        <w:spacing w:after="100" w:line="269" w:lineRule="auto"/>
        <w:ind w:left="173" w:leftChars="0" w:firstLine="0" w:firstLineChars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技术方案由三个互补层次组成。</w:t>
      </w:r>
    </w:p>
    <w:p w14:paraId="4C3C38E3">
      <w:pPr>
        <w:numPr>
          <w:ilvl w:val="0"/>
          <w:numId w:val="7"/>
        </w:numPr>
        <w:spacing w:after="100" w:line="269" w:lineRule="auto"/>
        <w:ind w:left="173" w:leftChars="0" w:firstLine="0" w:firstLineChars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严格使用训练集统计完成蛋白筛选、log2 转换和缺失掩码训练，Condition MLP 编码菌株、化合物、时间和实验上下文，输出绝对丰度。</w:t>
      </w:r>
    </w:p>
    <w:p w14:paraId="24661092">
      <w:pPr>
        <w:numPr>
          <w:ilvl w:val="0"/>
          <w:numId w:val="7"/>
        </w:numPr>
        <w:spacing w:after="100" w:line="269" w:lineRule="auto"/>
        <w:ind w:left="173" w:leftChars="0" w:firstLine="0" w:firstLineChars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ES-IFM 在低维蛋白空间分解化合物、菌株和低秩交互效应；在官方训练样本内部构造新化合物、新菌株和双重未知伪任务，学习场景门控，再以收缩形式校正 MLP。</w:t>
      </w:r>
    </w:p>
    <w:p w14:paraId="48B0BBF4">
      <w:pPr>
        <w:numPr>
          <w:ilvl w:val="0"/>
          <w:numId w:val="0"/>
        </w:numPr>
        <w:spacing w:after="100" w:line="269" w:lineRule="auto"/>
        <w:ind w:left="173" w:leftChars="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第三，对完全未见化合物，使用 Morgan、MACCS 与理化描述符，通过留一化合物选择的 RBF 核回归预测低维响应，实现低容量、强正则的小样本结构迁移。</w:t>
      </w:r>
    </w:p>
    <w:p w14:paraId="5F753052">
      <w:pPr>
        <w:pStyle w:val="4"/>
      </w:pPr>
      <w:r>
        <w:t>3.2 预期方法路线</w:t>
      </w:r>
    </w:p>
    <w:p w14:paraId="00563792">
      <w:pPr>
        <w:spacing w:after="100"/>
        <w:ind w:left="173" w:firstLine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1）数据合同：仅依据 split_final=train 计算缺失率，以严格阈值 &lt;0.697 固定 4,232 个蛋白和 sample_ID 顺序。</w:t>
      </w:r>
    </w:p>
    <w:p w14:paraId="608A9971">
      <w:pPr>
        <w:spacing w:after="100"/>
        <w:ind w:left="173" w:firstLine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2）主模型：训练 Condition MLP，在四类官方验证场景分别评估。</w:t>
      </w:r>
    </w:p>
    <w:p w14:paraId="0CF54493">
      <w:pPr>
        <w:spacing w:after="100"/>
        <w:ind w:left="173" w:firstLine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3）解释支路：训练 ES-IFM，输出主效应、交互项与 flow-only 消融。</w:t>
      </w:r>
    </w:p>
    <w:p w14:paraId="5D246634">
      <w:pPr>
        <w:spacing w:after="100"/>
        <w:ind w:left="173" w:firstLine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4）训练内门控：仅在 train 内构造三类伪冷启动任务，学习并冻结场景权重。</w:t>
      </w:r>
    </w:p>
    <w:p w14:paraId="3B19F405">
      <w:pPr>
        <w:spacing w:after="100"/>
        <w:ind w:left="173" w:firstLine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5）小样本冷启动：对训练化合物逐药留一选择结构核超参数，预测未见化合物响应。</w:t>
      </w:r>
    </w:p>
    <w:p w14:paraId="66571082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6）最终输出：生成绝对 log2 蛋白丰度，执行 4,454 行、4,232 蛋白列及 feature contract 检查。</w:t>
      </w:r>
    </w:p>
    <w:p w14:paraId="1BA7D3E9">
      <w:pPr>
        <w:pStyle w:val="4"/>
      </w:pPr>
      <w:r>
        <w:t>3.3 数据来源、依赖工具与运行流程</w:t>
      </w:r>
    </w:p>
    <w:p w14:paraId="391F22A5">
      <w:pPr>
        <w:spacing w:after="100"/>
        <w:ind w:left="173" w:firstLine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赛事数据为组委会提供的 metadata 与 proteome 文件。外部分子结构来自 PubChem PUG REST，本地快照获取于 2026-08-13，记录标准名称映射、SMILES、查询状态与来源；结构特征由 RDKit 2026.03.5 生成。主要依赖 Python 3.10+、PyTorch、NumPy、pandas、scikit-learn、LightGBM 与 RDKit。所有蛋白筛选、响应变换、PCA、缩放、核参数与门控权重估计均只使用 split_final=train；官方验证仅用于模型比较，不参与统计量估计或训练。</w:t>
      </w:r>
    </w:p>
    <w:p w14:paraId="0E146B10">
      <w:pPr>
        <w:spacing w:after="100"/>
        <w:ind w:left="173" w:firstLine="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89015" cy="3444875"/>
            <wp:effectExtent l="0" t="0" r="698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44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628886">
      <w:pPr>
        <w:pStyle w:val="3"/>
      </w:pPr>
      <w:r>
        <w:t>四、阶段性实验结果或可行性验证</w:t>
      </w:r>
    </w:p>
    <w:p w14:paraId="4CB01721">
      <w:pPr>
        <w:pStyle w:val="4"/>
      </w:pPr>
      <w:r>
        <w:t>4.1 阶段性实验或可行性验证</w:t>
      </w:r>
    </w:p>
    <w:p w14:paraId="3E4D4141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已完成 Protein Mean、严格 Matched Control、MLP、LightGBM、Random Forest 和 ES-IFM 多版本基线，并完成 Huber 损失、菌株内容特征、分子结构特征、主动学习与 SINDy 的边界实验。评估严格遵循冻结的 split_final，时间任务按修订手册表述为时间插值。本地六模块代理覆盖匹配对照 FC（25%）、绝对保真度（20%）、上下文均值残差（20%）、药物均值残差（20%）、双重未知/时间插值（10%）和 DEP（5%）。该代理用于本地模型选择，最终成绩仍以组委会独立内部评测与代码复现为准。</w:t>
      </w:r>
    </w:p>
    <w:p w14:paraId="1C139F2F">
      <w:pPr>
        <w:pStyle w:val="4"/>
      </w:pPr>
      <w:r>
        <w:t>4.2 当前结果</w:t>
      </w:r>
    </w:p>
    <w:p w14:paraId="5CC5DC62">
      <w:pPr>
        <w:spacing w:after="100"/>
        <w:ind w:left="173" w:firstLine="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训练内路由门控采用 prediction = MLP + gate × (ES-IFM-v4 - MLP)，权重完全由官方 train 内伪冷启动任务估计：新化合物 0.383、新菌株 0.115、双重未知 0.193，时间插值使用全局权重 0.152。冻结后，四场景 RMSE 均优于 Condition MLP，本地六模块代理分由 0.71690 提升至 0.71955；ES-IFM-v4 单模型为 0.69053。小样本逐药留一实验进一步表明，当已知化合物为 16 和 20 个时，RBF 结构核相对 ID-OOV分别改善 RMSE 0.00389（17/20 次胜出）和 0.00436（18/20 次胜出），95% 置信区间均大于零。官方 val_chem_only 上结构模型仅呈现微弱趋势，因药物数仅 6 且置信区间跨零，不作显著性宣称。严格 matched-control 绝对 RMSE 中，新菌株和双重未知仍是当前短板，因此文档不宣称所有子指标均已超过强基线。</w:t>
      </w:r>
      <w:r>
        <w:rPr>
          <w:rFonts w:hint="eastAsia" w:ascii="Calibri" w:hAnsi="Calibri" w:cstheme="minorBidi"/>
          <w:b w:val="0"/>
          <w:i w:val="0"/>
          <w:color w:val="0B2545"/>
          <w:sz w:val="21"/>
          <w:szCs w:val="22"/>
          <w:lang w:val="en-US" w:eastAsia="zh-CN" w:bidi="ar-SA"/>
        </w:rPr>
        <w:t xml:space="preserve">   </w:t>
      </w:r>
    </w:p>
    <w:p w14:paraId="5368A96E">
      <w:pPr>
        <w:spacing w:after="100" w:line="269" w:lineRule="auto"/>
        <w:ind w:left="173" w:leftChars="0" w:firstLine="1470" w:firstLineChars="70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</w:p>
    <w:p w14:paraId="60E0A970">
      <w:pPr>
        <w:spacing w:after="100" w:line="269" w:lineRule="auto"/>
        <w:ind w:left="173" w:leftChars="0" w:firstLine="1470" w:firstLineChars="700"/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表 1 为统一 treatment rows 上的 masked absolute-log2 RMSE，越低越好。</w:t>
      </w:r>
    </w:p>
    <w:tbl>
      <w:tblPr>
        <w:tblStyle w:val="33"/>
        <w:tblW w:w="9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862"/>
        <w:gridCol w:w="1800"/>
        <w:gridCol w:w="1877"/>
        <w:gridCol w:w="2278"/>
      </w:tblGrid>
      <w:tr w14:paraId="0C56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D433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模型</w:t>
            </w:r>
          </w:p>
        </w:tc>
        <w:tc>
          <w:tcPr>
            <w:tcW w:w="1862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BA50C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新化合物</w:t>
            </w:r>
          </w:p>
        </w:tc>
        <w:tc>
          <w:tcPr>
            <w:tcW w:w="1800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08780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新菌株</w:t>
            </w:r>
          </w:p>
        </w:tc>
        <w:tc>
          <w:tcPr>
            <w:tcW w:w="1877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866C5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双重未知</w:t>
            </w:r>
          </w:p>
        </w:tc>
        <w:tc>
          <w:tcPr>
            <w:tcW w:w="2278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A6585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时间插值</w:t>
            </w:r>
          </w:p>
        </w:tc>
      </w:tr>
      <w:tr w14:paraId="0DC1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39814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Protein Mean</w:t>
            </w:r>
          </w:p>
        </w:tc>
        <w:tc>
          <w:tcPr>
            <w:tcW w:w="18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2F642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1.00476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BC764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0.87131</w:t>
            </w:r>
          </w:p>
        </w:tc>
        <w:tc>
          <w:tcPr>
            <w:tcW w:w="18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43EEA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0.99190</w:t>
            </w:r>
          </w:p>
        </w:tc>
        <w:tc>
          <w:tcPr>
            <w:tcW w:w="22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ABB6C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0.87872</w:t>
            </w:r>
          </w:p>
        </w:tc>
      </w:tr>
      <w:tr w14:paraId="469D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BED9D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Condition MLP</w:t>
            </w:r>
          </w:p>
        </w:tc>
        <w:tc>
          <w:tcPr>
            <w:tcW w:w="18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BCC1B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0.32645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71E17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0.46987</w:t>
            </w:r>
          </w:p>
        </w:tc>
        <w:tc>
          <w:tcPr>
            <w:tcW w:w="18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DCA16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0.48813</w:t>
            </w:r>
          </w:p>
        </w:tc>
        <w:tc>
          <w:tcPr>
            <w:tcW w:w="22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E5FB4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0.32714</w:t>
            </w:r>
          </w:p>
        </w:tc>
      </w:tr>
      <w:tr w14:paraId="6EAB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ADBD9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ES-IFM-v4</w:t>
            </w:r>
          </w:p>
        </w:tc>
        <w:tc>
          <w:tcPr>
            <w:tcW w:w="18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15F68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0.37360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746FF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0.52788</w:t>
            </w:r>
          </w:p>
        </w:tc>
        <w:tc>
          <w:tcPr>
            <w:tcW w:w="18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A382B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0.52153</w:t>
            </w:r>
          </w:p>
        </w:tc>
        <w:tc>
          <w:tcPr>
            <w:tcW w:w="22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8B582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0.38967</w:t>
            </w:r>
          </w:p>
        </w:tc>
      </w:tr>
      <w:tr w14:paraId="5BD1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D6F98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训练内门控 MLP+ES-IFM</w:t>
            </w:r>
          </w:p>
        </w:tc>
        <w:tc>
          <w:tcPr>
            <w:tcW w:w="18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011C0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0.32556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F114A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0.46790</w:t>
            </w:r>
          </w:p>
        </w:tc>
        <w:tc>
          <w:tcPr>
            <w:tcW w:w="18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E8AF3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0.48240</w:t>
            </w:r>
          </w:p>
        </w:tc>
        <w:tc>
          <w:tcPr>
            <w:tcW w:w="22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FC9BA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0.32675</w:t>
            </w:r>
          </w:p>
        </w:tc>
      </w:tr>
      <w:tr w14:paraId="02D7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1379D028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MLP + 结构校正</w:t>
            </w:r>
          </w:p>
        </w:tc>
        <w:tc>
          <w:tcPr>
            <w:tcW w:w="1862" w:type="dxa"/>
            <w:vAlign w:val="center"/>
          </w:tcPr>
          <w:p w14:paraId="57342FE0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0.32606</w:t>
            </w:r>
          </w:p>
        </w:tc>
        <w:tc>
          <w:tcPr>
            <w:tcW w:w="1800" w:type="dxa"/>
            <w:vAlign w:val="center"/>
          </w:tcPr>
          <w:p w14:paraId="2A56344B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w="1877" w:type="dxa"/>
            <w:vAlign w:val="center"/>
          </w:tcPr>
          <w:p w14:paraId="07A2C123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w="2278" w:type="dxa"/>
            <w:vAlign w:val="center"/>
          </w:tcPr>
          <w:p w14:paraId="1D7C49BF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-</w:t>
            </w:r>
          </w:p>
        </w:tc>
      </w:tr>
    </w:tbl>
    <w:p w14:paraId="458454F1">
      <w:pPr>
        <w:keepNext/>
        <w:keepLines/>
        <w:spacing w:after="120" w:line="360" w:lineRule="auto"/>
        <w:ind w:left="0" w:leftChars="0" w:firstLine="1050" w:firstLineChars="500"/>
        <w:jc w:val="both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1"/>
          <w:szCs w:val="21"/>
          <w:u w:val="none"/>
        </w:rPr>
      </w:pPr>
    </w:p>
    <w:p w14:paraId="511BC24E">
      <w:pPr>
        <w:keepNext/>
        <w:keepLines/>
        <w:spacing w:after="120" w:line="360" w:lineRule="auto"/>
        <w:ind w:left="0" w:leftChars="0" w:firstLine="1050" w:firstLineChars="500"/>
        <w:jc w:val="both"/>
        <w:rPr>
          <w:rFonts w:hint="default" w:ascii="微软雅黑" w:hAnsi="微软雅黑" w:eastAsia="微软雅黑" w:cs="微软雅黑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1"/>
          <w:szCs w:val="21"/>
          <w:u w:val="none"/>
        </w:rPr>
        <w:t>表 2 为 exact Matched Control 可用的相同样本与掩码子集，用于审计强基线差距。</w:t>
      </w:r>
      <w:r>
        <w:rPr>
          <w:rFonts w:hint="eastAsia" w:cs="微软雅黑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 </w:t>
      </w:r>
    </w:p>
    <w:tbl>
      <w:tblPr>
        <w:tblStyle w:val="33"/>
        <w:tblW w:w="9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868"/>
        <w:gridCol w:w="1787"/>
        <w:gridCol w:w="1878"/>
        <w:gridCol w:w="2284"/>
      </w:tblGrid>
      <w:tr w14:paraId="5EFC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09F01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模型/比较</w:t>
            </w:r>
          </w:p>
        </w:tc>
        <w:tc>
          <w:tcPr>
            <w:tcW w:w="1868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45945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新化合物</w:t>
            </w:r>
          </w:p>
        </w:tc>
        <w:tc>
          <w:tcPr>
            <w:tcW w:w="1787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C9C66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新菌株</w:t>
            </w:r>
          </w:p>
        </w:tc>
        <w:tc>
          <w:tcPr>
            <w:tcW w:w="1878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0F6A2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双重未知</w:t>
            </w:r>
          </w:p>
        </w:tc>
        <w:tc>
          <w:tcPr>
            <w:tcW w:w="2284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D0FFB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时间插值</w:t>
            </w:r>
          </w:p>
        </w:tc>
      </w:tr>
      <w:tr w14:paraId="6727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D564F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Matched Control</w:t>
            </w:r>
          </w:p>
        </w:tc>
        <w:tc>
          <w:tcPr>
            <w:tcW w:w="18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6EF0E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0.35253</w:t>
            </w:r>
          </w:p>
        </w:tc>
        <w:tc>
          <w:tcPr>
            <w:tcW w:w="17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A8F96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0.37787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6200E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0.35517</w:t>
            </w:r>
          </w:p>
        </w:tc>
        <w:tc>
          <w:tcPr>
            <w:tcW w:w="2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C7C52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0.40955</w:t>
            </w:r>
          </w:p>
        </w:tc>
      </w:tr>
      <w:tr w14:paraId="74D8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EE26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Condition MLP</w:t>
            </w:r>
          </w:p>
        </w:tc>
        <w:tc>
          <w:tcPr>
            <w:tcW w:w="18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883FD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0.32139</w:t>
            </w:r>
          </w:p>
        </w:tc>
        <w:tc>
          <w:tcPr>
            <w:tcW w:w="17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A2A5F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0.46521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07FDA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0.48409</w:t>
            </w:r>
          </w:p>
        </w:tc>
        <w:tc>
          <w:tcPr>
            <w:tcW w:w="2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66762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0.32292</w:t>
            </w:r>
          </w:p>
        </w:tc>
      </w:tr>
      <w:tr w14:paraId="034D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934AE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训练内门控 MLP+ES-IFM</w:t>
            </w:r>
          </w:p>
        </w:tc>
        <w:tc>
          <w:tcPr>
            <w:tcW w:w="18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99E11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0.31784</w:t>
            </w:r>
          </w:p>
        </w:tc>
        <w:tc>
          <w:tcPr>
            <w:tcW w:w="17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DC802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0.46306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B813F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0.47857</w:t>
            </w:r>
          </w:p>
        </w:tc>
        <w:tc>
          <w:tcPr>
            <w:tcW w:w="2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951B0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0.32183</w:t>
            </w:r>
          </w:p>
        </w:tc>
      </w:tr>
      <w:tr w14:paraId="40F2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AA534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门控模型相对改善</w:t>
            </w:r>
          </w:p>
        </w:tc>
        <w:tc>
          <w:tcPr>
            <w:tcW w:w="18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31613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+0.03469</w:t>
            </w:r>
          </w:p>
        </w:tc>
        <w:tc>
          <w:tcPr>
            <w:tcW w:w="17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047D9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-0.08519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3A8BA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-0.12340</w:t>
            </w:r>
          </w:p>
        </w:tc>
        <w:tc>
          <w:tcPr>
            <w:tcW w:w="2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876F4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+0.08772</w:t>
            </w:r>
          </w:p>
        </w:tc>
      </w:tr>
      <w:tr w14:paraId="0CC6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67198C32"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是否超过强基线</w:t>
            </w:r>
          </w:p>
        </w:tc>
        <w:tc>
          <w:tcPr>
            <w:tcW w:w="1868" w:type="dxa"/>
            <w:vAlign w:val="center"/>
          </w:tcPr>
          <w:p w14:paraId="6370378A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是</w:t>
            </w:r>
          </w:p>
        </w:tc>
        <w:tc>
          <w:tcPr>
            <w:tcW w:w="1787" w:type="dxa"/>
            <w:vAlign w:val="center"/>
          </w:tcPr>
          <w:p w14:paraId="079C8269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否</w:t>
            </w:r>
          </w:p>
        </w:tc>
        <w:tc>
          <w:tcPr>
            <w:tcW w:w="1878" w:type="dxa"/>
            <w:vAlign w:val="center"/>
          </w:tcPr>
          <w:p w14:paraId="4D479A1B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否</w:t>
            </w:r>
          </w:p>
        </w:tc>
        <w:tc>
          <w:tcPr>
            <w:tcW w:w="2284" w:type="dxa"/>
            <w:vAlign w:val="center"/>
          </w:tcPr>
          <w:p w14:paraId="7DB3E56E"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是</w:t>
            </w:r>
          </w:p>
        </w:tc>
      </w:tr>
    </w:tbl>
    <w:p w14:paraId="6C6A091E">
      <w:pPr>
        <w:spacing w:after="100" w:line="269" w:lineRule="auto"/>
        <w:rPr>
          <w:rFonts w:hint="eastAsia" w:ascii="微软雅黑" w:hAnsi="微软雅黑" w:eastAsia="微软雅黑" w:cs="微软雅黑"/>
          <w:b w:val="0"/>
          <w:i w:val="0"/>
          <w:color w:val="0B2545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zh-CN" w:bidi="ar-SA"/>
        </w:rPr>
        <w:t xml:space="preserve">                    </w:t>
      </w:r>
      <w:r>
        <w:rPr>
          <w:rFonts w:hint="eastAsia" w:ascii="微软雅黑" w:hAnsi="微软雅黑" w:eastAsia="微软雅黑" w:cs="微软雅黑"/>
          <w:b w:val="0"/>
          <w:i w:val="0"/>
          <w:color w:val="0B2545"/>
          <w:sz w:val="21"/>
          <w:szCs w:val="22"/>
          <w:lang w:val="en-US" w:eastAsia="zh-CN" w:bidi="ar-SA"/>
        </w:rPr>
        <w:t>注：表 1 与表 2 的评估子集不同，不能横向混算；六模块代理也不等同于官方最终成绩。</w:t>
      </w:r>
    </w:p>
    <w:p w14:paraId="14BC7477">
      <w:pPr>
        <w:keepNext/>
        <w:keepLines/>
        <w:spacing w:after="120" w:line="360" w:lineRule="auto"/>
        <w:ind w:left="0" w:leftChars="0" w:firstLine="1260" w:firstLineChars="600"/>
        <w:jc w:val="both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1"/>
          <w:szCs w:val="21"/>
          <w:u w:val="none"/>
        </w:rPr>
      </w:pPr>
    </w:p>
    <w:p w14:paraId="3CBA514D">
      <w:pPr>
        <w:keepNext/>
        <w:keepLines/>
        <w:spacing w:after="120" w:line="360" w:lineRule="auto"/>
        <w:ind w:left="0" w:leftChars="0" w:firstLine="1260" w:firstLineChars="600"/>
        <w:jc w:val="both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1"/>
          <w:szCs w:val="21"/>
          <w:u w:val="none"/>
        </w:rPr>
        <w:t>表 3 为本地六模块代理评分；该代理用于模型选择，不等同于组委会最终成绩。</w:t>
      </w:r>
    </w:p>
    <w:tbl>
      <w:tblPr>
        <w:tblStyle w:val="33"/>
        <w:tblW w:w="99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199"/>
        <w:gridCol w:w="1045"/>
        <w:gridCol w:w="935"/>
        <w:gridCol w:w="1181"/>
        <w:gridCol w:w="1161"/>
        <w:gridCol w:w="1349"/>
        <w:gridCol w:w="1251"/>
      </w:tblGrid>
      <w:tr w14:paraId="0D27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2F5597"/>
            <w:vAlign w:val="center"/>
          </w:tcPr>
          <w:p w14:paraId="5DD2470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模型</w:t>
            </w:r>
          </w:p>
        </w:tc>
        <w:tc>
          <w:tcPr>
            <w:tcW w:w="1199" w:type="dxa"/>
            <w:shd w:val="clear" w:color="auto" w:fill="2F5597"/>
            <w:vAlign w:val="center"/>
          </w:tcPr>
          <w:p w14:paraId="65DB69E0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FC</w:t>
            </w:r>
          </w:p>
        </w:tc>
        <w:tc>
          <w:tcPr>
            <w:tcW w:w="1045" w:type="dxa"/>
            <w:shd w:val="clear" w:color="auto" w:fill="2F5597"/>
            <w:vAlign w:val="center"/>
          </w:tcPr>
          <w:p w14:paraId="703E8ED7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绝对保真</w:t>
            </w:r>
          </w:p>
        </w:tc>
        <w:tc>
          <w:tcPr>
            <w:tcW w:w="935" w:type="dxa"/>
            <w:shd w:val="clear" w:color="auto" w:fill="2F5597"/>
            <w:vAlign w:val="center"/>
          </w:tcPr>
          <w:p w14:paraId="41F0296B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上下文残差</w:t>
            </w:r>
          </w:p>
        </w:tc>
        <w:tc>
          <w:tcPr>
            <w:tcW w:w="1181" w:type="dxa"/>
            <w:shd w:val="clear" w:color="auto" w:fill="2F5597"/>
            <w:vAlign w:val="center"/>
          </w:tcPr>
          <w:p w14:paraId="24B60D67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药物残差</w:t>
            </w:r>
          </w:p>
        </w:tc>
        <w:tc>
          <w:tcPr>
            <w:tcW w:w="1161" w:type="dxa"/>
            <w:shd w:val="clear" w:color="auto" w:fill="2F5597"/>
            <w:vAlign w:val="center"/>
          </w:tcPr>
          <w:p w14:paraId="0A0A4BF2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双重/时间</w:t>
            </w:r>
          </w:p>
        </w:tc>
        <w:tc>
          <w:tcPr>
            <w:tcW w:w="1349" w:type="dxa"/>
            <w:shd w:val="clear" w:color="auto" w:fill="2F5597"/>
            <w:vAlign w:val="center"/>
          </w:tcPr>
          <w:p w14:paraId="0ACF7F94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DEP</w:t>
            </w:r>
          </w:p>
        </w:tc>
        <w:tc>
          <w:tcPr>
            <w:tcW w:w="1251" w:type="dxa"/>
            <w:shd w:val="clear" w:color="auto" w:fill="2F5597"/>
            <w:vAlign w:val="center"/>
          </w:tcPr>
          <w:p w14:paraId="03777ADE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综合</w:t>
            </w:r>
          </w:p>
        </w:tc>
      </w:tr>
      <w:tr w14:paraId="285B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1928CE1D">
            <w:pPr>
              <w:spacing w:before="0" w:after="0"/>
              <w:jc w:val="left"/>
            </w:pPr>
            <w:r>
              <w:rPr>
                <w:rFonts w:ascii="Calibri" w:hAnsi="Calibri"/>
                <w:sz w:val="15"/>
              </w:rPr>
              <w:t>Condition MLP</w:t>
            </w:r>
          </w:p>
        </w:tc>
        <w:tc>
          <w:tcPr>
            <w:tcW w:w="1199" w:type="dxa"/>
            <w:vAlign w:val="center"/>
          </w:tcPr>
          <w:p w14:paraId="5AC8CC36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0.71151</w:t>
            </w:r>
          </w:p>
        </w:tc>
        <w:tc>
          <w:tcPr>
            <w:tcW w:w="1045" w:type="dxa"/>
            <w:vAlign w:val="center"/>
          </w:tcPr>
          <w:p w14:paraId="4924348B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0.90426</w:t>
            </w:r>
          </w:p>
        </w:tc>
        <w:tc>
          <w:tcPr>
            <w:tcW w:w="935" w:type="dxa"/>
            <w:vAlign w:val="center"/>
          </w:tcPr>
          <w:p w14:paraId="4F912299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0.59012</w:t>
            </w:r>
          </w:p>
        </w:tc>
        <w:tc>
          <w:tcPr>
            <w:tcW w:w="1181" w:type="dxa"/>
            <w:vAlign w:val="center"/>
          </w:tcPr>
          <w:p w14:paraId="1F02A1A5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0.67979</w:t>
            </w:r>
          </w:p>
        </w:tc>
        <w:tc>
          <w:tcPr>
            <w:tcW w:w="1161" w:type="dxa"/>
            <w:vAlign w:val="center"/>
          </w:tcPr>
          <w:p w14:paraId="722186B0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0.81040</w:t>
            </w:r>
          </w:p>
        </w:tc>
        <w:tc>
          <w:tcPr>
            <w:tcW w:w="1349" w:type="dxa"/>
            <w:vAlign w:val="center"/>
          </w:tcPr>
          <w:p w14:paraId="5F287258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0.46297</w:t>
            </w:r>
          </w:p>
        </w:tc>
        <w:tc>
          <w:tcPr>
            <w:tcW w:w="1251" w:type="dxa"/>
            <w:vAlign w:val="center"/>
          </w:tcPr>
          <w:p w14:paraId="32B9BDAE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0.71690</w:t>
            </w:r>
          </w:p>
        </w:tc>
      </w:tr>
      <w:tr w14:paraId="057E8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12A62C87">
            <w:pPr>
              <w:spacing w:before="0" w:after="0"/>
              <w:jc w:val="left"/>
            </w:pPr>
            <w:r>
              <w:rPr>
                <w:rFonts w:ascii="Calibri" w:hAnsi="Calibri"/>
                <w:sz w:val="15"/>
              </w:rPr>
              <w:t>ES-IFM-v4</w:t>
            </w:r>
          </w:p>
        </w:tc>
        <w:tc>
          <w:tcPr>
            <w:tcW w:w="1199" w:type="dxa"/>
            <w:vAlign w:val="center"/>
          </w:tcPr>
          <w:p w14:paraId="0F5C3AB4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0.67168</w:t>
            </w:r>
          </w:p>
        </w:tc>
        <w:tc>
          <w:tcPr>
            <w:tcW w:w="1045" w:type="dxa"/>
            <w:vAlign w:val="center"/>
          </w:tcPr>
          <w:p w14:paraId="415BA16A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0.88469</w:t>
            </w:r>
          </w:p>
        </w:tc>
        <w:tc>
          <w:tcPr>
            <w:tcW w:w="935" w:type="dxa"/>
            <w:vAlign w:val="center"/>
          </w:tcPr>
          <w:p w14:paraId="74F161AE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0.57952</w:t>
            </w:r>
          </w:p>
        </w:tc>
        <w:tc>
          <w:tcPr>
            <w:tcW w:w="1181" w:type="dxa"/>
            <w:vAlign w:val="center"/>
          </w:tcPr>
          <w:p w14:paraId="466C8130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0.65445</w:t>
            </w:r>
          </w:p>
        </w:tc>
        <w:tc>
          <w:tcPr>
            <w:tcW w:w="1161" w:type="dxa"/>
            <w:vAlign w:val="center"/>
          </w:tcPr>
          <w:p w14:paraId="708A4145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0.78399</w:t>
            </w:r>
          </w:p>
        </w:tc>
        <w:tc>
          <w:tcPr>
            <w:tcW w:w="1349" w:type="dxa"/>
            <w:vAlign w:val="center"/>
          </w:tcPr>
          <w:p w14:paraId="6A1F9C02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0.42493</w:t>
            </w:r>
          </w:p>
        </w:tc>
        <w:tc>
          <w:tcPr>
            <w:tcW w:w="1251" w:type="dxa"/>
            <w:vAlign w:val="center"/>
          </w:tcPr>
          <w:p w14:paraId="7AF462A3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0.69053</w:t>
            </w:r>
          </w:p>
        </w:tc>
      </w:tr>
      <w:tr w14:paraId="4747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4E2A38BF">
            <w:pPr>
              <w:spacing w:before="0" w:after="0"/>
              <w:jc w:val="left"/>
            </w:pPr>
            <w:r>
              <w:rPr>
                <w:rFonts w:ascii="Calibri" w:hAnsi="Calibri"/>
                <w:sz w:val="15"/>
              </w:rPr>
              <w:t>训练内门控融合</w:t>
            </w:r>
          </w:p>
        </w:tc>
        <w:tc>
          <w:tcPr>
            <w:tcW w:w="1199" w:type="dxa"/>
            <w:vAlign w:val="center"/>
          </w:tcPr>
          <w:p w14:paraId="56E2F658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0.71265</w:t>
            </w:r>
          </w:p>
        </w:tc>
        <w:tc>
          <w:tcPr>
            <w:tcW w:w="1045" w:type="dxa"/>
            <w:vAlign w:val="center"/>
          </w:tcPr>
          <w:p w14:paraId="6948672F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0.90527</w:t>
            </w:r>
          </w:p>
        </w:tc>
        <w:tc>
          <w:tcPr>
            <w:tcW w:w="935" w:type="dxa"/>
            <w:vAlign w:val="center"/>
          </w:tcPr>
          <w:p w14:paraId="0F397147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0.60041</w:t>
            </w:r>
          </w:p>
        </w:tc>
        <w:tc>
          <w:tcPr>
            <w:tcW w:w="1181" w:type="dxa"/>
            <w:vAlign w:val="center"/>
          </w:tcPr>
          <w:p w14:paraId="2D1128AC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0.67990</w:t>
            </w:r>
          </w:p>
        </w:tc>
        <w:tc>
          <w:tcPr>
            <w:tcW w:w="1161" w:type="dxa"/>
            <w:vAlign w:val="center"/>
          </w:tcPr>
          <w:p w14:paraId="2A68320B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0.81218</w:t>
            </w:r>
          </w:p>
        </w:tc>
        <w:tc>
          <w:tcPr>
            <w:tcW w:w="1349" w:type="dxa"/>
            <w:vAlign w:val="center"/>
          </w:tcPr>
          <w:p w14:paraId="64003F86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0.46114</w:t>
            </w:r>
          </w:p>
        </w:tc>
        <w:tc>
          <w:tcPr>
            <w:tcW w:w="1251" w:type="dxa"/>
            <w:vAlign w:val="center"/>
          </w:tcPr>
          <w:p w14:paraId="261CD53D">
            <w:pPr>
              <w:spacing w:before="0" w:after="0"/>
              <w:jc w:val="center"/>
            </w:pPr>
            <w:r>
              <w:rPr>
                <w:rFonts w:ascii="Calibri" w:hAnsi="Calibri"/>
                <w:sz w:val="15"/>
              </w:rPr>
              <w:t>0.71955</w:t>
            </w:r>
          </w:p>
        </w:tc>
      </w:tr>
    </w:tbl>
    <w:p w14:paraId="73598741">
      <w:pPr>
        <w:spacing w:after="100" w:line="269" w:lineRule="auto"/>
        <w:rPr>
          <w:rFonts w:hint="default" w:ascii="微软雅黑" w:hAnsi="微软雅黑" w:eastAsia="微软雅黑" w:cs="微软雅黑"/>
          <w:b w:val="0"/>
          <w:i w:val="0"/>
          <w:color w:val="0B2545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i w:val="0"/>
          <w:color w:val="0B2545"/>
          <w:sz w:val="21"/>
          <w:szCs w:val="22"/>
          <w:lang w:val="en-US" w:eastAsia="zh-CN" w:bidi="ar-SA"/>
        </w:rPr>
        <w:t xml:space="preserve">                                            门控权重仅由训练集内部伪冷启动任务估计 </w:t>
      </w:r>
    </w:p>
    <w:p w14:paraId="3FAC3FFA">
      <w:pPr>
        <w:pStyle w:val="3"/>
      </w:pPr>
      <w:r>
        <w:t>五、复现与开放计划</w:t>
      </w:r>
    </w:p>
    <w:p w14:paraId="72EA75A9">
      <w:pPr>
        <w:pStyle w:val="4"/>
      </w:pPr>
      <w:r>
        <w:t>5.1 复现方式</w:t>
      </w:r>
    </w:p>
    <w:p w14:paraId="3E1B46D9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项目提供机器可读的 4,232 维 feature contract、固定随机种子、关键超参数、训练日志、模型检查点、验证预测与审计 JSON。初赛随方案提交训练与推理源代码，不提交赛事原始数据或庞大中间预测。代码入口覆盖数据准备、基线训练、ES-IFM、训练内门控、小样本结构核、六模块代理评分和最终提交校验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。</w:t>
      </w:r>
    </w:p>
    <w:p w14:paraId="581B36CB">
      <w:pPr>
        <w:pStyle w:val="4"/>
      </w:pPr>
      <w:r>
        <w:t>5.2 开源计划</w:t>
      </w:r>
    </w:p>
    <w:p w14:paraId="4EE72680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初赛代码包将包含可直接检查的 README、依赖声明、目录约定、训练与推理入口、固定随机种子及关键参数，满足“代码完整、流程可复现”的要求。后续计划继续公开数据处理、评估和消融管线，赛事原始数据不重复分发；使用者需按目录说明放置获授权数据</w:t>
      </w:r>
      <w:r>
        <w:rPr>
          <w:rFonts w:ascii="Calibri" w:hAnsi="Calibri" w:eastAsia="微软雅黑"/>
          <w:b w:val="0"/>
          <w:i w:val="0"/>
          <w:color w:val="0B2545"/>
          <w:sz w:val="21"/>
        </w:rPr>
        <w:t>。</w:t>
      </w:r>
    </w:p>
    <w:p w14:paraId="5FDE29FF">
      <w:pPr>
        <w:pStyle w:val="4"/>
      </w:pPr>
      <w:r>
        <w:t>5.3 依赖、数据来源与合规披露</w:t>
      </w:r>
    </w:p>
    <w:p w14:paraId="7F59AE30">
      <w:pPr>
        <w:spacing w:after="100"/>
        <w:ind w:left="173" w:firstLine="0"/>
      </w:pPr>
      <w:r>
        <w:rPr>
          <w:rFonts w:ascii="Calibri" w:hAnsi="Calibri" w:eastAsia="微软雅黑" w:cstheme="minorBidi"/>
          <w:b w:val="0"/>
          <w:i w:val="0"/>
          <w:color w:val="0B2545"/>
          <w:sz w:val="21"/>
          <w:szCs w:val="22"/>
          <w:lang w:val="en-US" w:eastAsia="en-US" w:bidi="ar-SA"/>
        </w:rPr>
        <w:t>开源依赖包括 PyTorch、scikit-learn、LightGBM、RDKit、NumPy、pandas、SciPy 和 matplotlib。外部资源仅使用 PubChem PUG REST 化合物结构快照，来源、访问日期、名称别名与 CID 映射均在代码和 CSV中披露。公开 test 真值仅可用于自评参考，本方案不使用验证或测试蛋白质组标签训练，也不据此估计蛋白保留列表、归一化参数、PCA、结构核参数或融合门控。最终排名以组委会独立内部评测为准。</w:t>
      </w:r>
    </w:p>
    <w:p w14:paraId="6D76D1A3">
      <w:pPr>
        <w:spacing w:after="100"/>
        <w:ind w:left="173" w:firstLine="0"/>
      </w:pPr>
    </w:p>
    <w:p w14:paraId="5BEE82A5">
      <w:pPr>
        <w:spacing w:after="100"/>
      </w:pPr>
      <w:bookmarkStart w:id="0" w:name="_GoBack"/>
      <w:bookmarkEnd w:id="0"/>
    </w:p>
    <w:sectPr>
      <w:footerReference r:id="rId5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E1932">
    <w:pPr>
      <w:pStyle w:val="24"/>
      <w:jc w:val="right"/>
    </w:pPr>
    <w:r>
      <w:rPr>
        <w:rFonts w:hint="eastAsia" w:ascii="Calibri" w:hAnsi="Calibri"/>
        <w:b w:val="0"/>
        <w:i w:val="0"/>
        <w:color w:val="5A6573"/>
        <w:sz w:val="17"/>
        <w:lang w:eastAsia="zh-CN"/>
      </w:rPr>
      <w:t>GOAI AI for Research赛道</w:t>
    </w:r>
    <w:r>
      <w:rPr>
        <w:rFonts w:ascii="Calibri" w:hAnsi="Calibri" w:eastAsia="微软雅黑"/>
        <w:b w:val="0"/>
        <w:i w:val="0"/>
        <w:color w:val="5A6573"/>
        <w:sz w:val="17"/>
      </w:rPr>
      <w:t xml:space="preserve"> | 算法赛初赛大纲模板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AD8E3"/>
    <w:multiLevelType w:val="singleLevel"/>
    <w:tmpl w:val="E93AD8E3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67B46"/>
    <w:rsid w:val="23304227"/>
    <w:rsid w:val="23AF77BF"/>
    <w:rsid w:val="3F6DDC68"/>
    <w:rsid w:val="49184B37"/>
    <w:rsid w:val="49957119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2451</Words>
  <Characters>3547</Characters>
  <Lines>0</Lines>
  <Paragraphs>0</Paragraphs>
  <TotalTime>12</TotalTime>
  <ScaleCrop>false</ScaleCrop>
  <LinksUpToDate>false</LinksUpToDate>
  <CharactersWithSpaces>3801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时之碎沫</cp:lastModifiedBy>
  <dcterms:modified xsi:type="dcterms:W3CDTF">2026-10-07T13:04:29Z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eyJoZGlkIjoiOTJhYjBjNmZjY2UxYjJhNTNlY2QwZThiNDRjNGY4NTYiLCJ1c2VySWQiOiIzNDg1MDMxODIifQ==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CDD5274CC1D44C419F88A10DFA15A0C6_12</vt:lpwstr>
  </property>
</Properties>
</file>