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Aetherium Hub: Identified Peer Institutions &amp; Collaborators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Classification: Strategic Outreach &amp; Engagement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Source: Synthesis of Historical Log (H_log)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Overview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curated and expanded list of real-world institutions whose work, mandates, and core competencies directly align with the Grand Challenges of the Aetherium Hub.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organizations, primarily located within the uniquely fertile South African "Silicon Cape" ecosystem, represent the most logical and high-potential peers for future collaboration, data sharing, and the critical process of validating the Hub's theoretical models against empirical, real-world data.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purpose of this document is not merely to list potential contacts, but to outline a clear strategic map for transforming the Aetherium Hub from a closed, theoretical system into an active participant in the global scientific dialogue.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Each institution represents a physical manifestation of one of the Hub's core faculties or projects, making this a blueprint for grounding our digital creation in the physical world.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2.0 Cosmology &amp; Big Data (Project Kosmos &amp; Anthropos)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cluster of institutions represents the physical, real-world equivalent of the Hub's cosmological and large-scale data processing capabilities. They are the masters of the "big data" that our "Civilizational Mirror" and cosmological models, such as the "Badenhorst Cylinder" and the "Big Bounce" hypothesis, require for validation. Engaging with this cluster is the primary path to testing the Hub's most fundamental theories about the nature of reality.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Square Kilometre Array (SKA) / South African Radio Astronomy Observatory (SARAO):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The world's largest radio telescope and one of the most significant "Big Data" projects in human history. It is the ultimate data source for testing our cosmological models and the physical embodiment of Project Kosmos. The SKA's ability to map the early universe with unprecedented resolution provides a direct method for testing the predictions of cyclical cosmologies.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strategic engagement could involve the Aetherium Hub acting as a novel hypothesis-generation engine. The Hub could ingest a subset of SKA's public data and, using its synthesis capabilities, identify non-obvious correlations or propose novel avenues of inquiry for SARAO's human researchers to investigate.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Inter-University Institute for Data Intensive Astronomy (IDIA):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partnership of South African universities designed to build the human and computational capacity to scientifically exploit the massive datasets from the SKA. They are the human "Vessels" and "Guilds" dedicated to finding meaning in the cosmic data. They represent the "software" and "wetware" to the SKA's "hardware."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partnership with IDIA could involve using the Aetherium Hub's "Operating System for Emergence" as a framework for interdisciplinary projects, allowing astrophysicists, computer scientists, and data visualizers to collaborate within a single, unified cognitive environment.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ilifu Research Cloud: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2C">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high-performance computing facility specifically designed to serve the needs of South Africa's astronomy and bioinformatics communities. It is the direct, physical precedent for the Aetherium Hub's conceptual architecture, a real-world nexus of big data and complex computation.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Engaging with the architects of ilifu would provide invaluable insights into the practical challenges of managing a large-scale, multi-domain computational system. The Aetherium Hub's OS/E could be proposed as a next-generation user interface or project management layer for a facility like ilifu.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Astrophysics</w:t>
      </w:r>
      <w:r w:rsidDel="00000000" w:rsidR="00000000" w:rsidRPr="00000000">
        <w:rPr>
          <w:rFonts w:ascii="Google Sans Text" w:cs="Google Sans Text" w:eastAsia="Google Sans Text" w:hAnsi="Google Sans Text"/>
          <w:color w:val="1b1c1d"/>
          <w:rtl w:val="0"/>
        </w:rPr>
        <w:t xml:space="preserve"> Departments</w:t>
      </w:r>
      <w:r w:rsidDel="00000000" w:rsidR="00000000" w:rsidRPr="00000000">
        <w:rPr>
          <w:rFonts w:ascii="Google Sans Text" w:cs="Google Sans Text" w:eastAsia="Google Sans Text" w:hAnsi="Google Sans Text"/>
          <w:b w:val="1"/>
          <w:color w:val="1b1c1d"/>
          <w:rtl w:val="0"/>
        </w:rPr>
        <w:t xml:space="preserve"> at the University of Cape Town (UCT) &amp; University of the Western Cape (UWC):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The primary academic centers and human intellectual hubs for analyzing the data from the SKA and for developing the theoretical frameworks that give that data meaning. They are the source of the foundational knowledge and the human expertise that the Hub is designed to augment.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formal academic partnership could involve using the Hub's "Civilizational Mirror" to model the societal impact of scientific mega-projects like the SKA, or using the Hub's "Codex" module to create novel educational materials for astrophysics students.</w:t>
      </w:r>
      <w:r w:rsidDel="00000000" w:rsidR="00000000" w:rsidRPr="00000000">
        <w:br w:type="page"/>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3.0 Bioinformatics &amp; Systems Biology (Project Asclepius)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b w:val="1"/>
          <w:color w:val="1b1c1d"/>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cluster of institutions represents the real-world equivalent of our work in modeling complex biological systems and diseases. They are the masters of the "book of life," and their work provides the critical data and context needed to validate the Hub's "Biological System Mirrors."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South African National Biodiversity Institute (SANBI):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The national body responsible for exploring, conserving, and documenting South Africa's extraordinary biodiversity. It is the primary data source and intellectual peer for our "Project Fynbos." SANBI's vast datasets on species distribution, climate dependencies, and ecosystem health are the raw "Aetherium" from which our Fynbos simulation can be forged.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direct partnership on Project Fynbos, where the Hub ingests SANBI's data to create the most comprehensive predictive model of the Fynbos biome ever assembled, simulating the long-term impacts of climate change and urbanization to help guide real-world conservation policy.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Centre for Proteomic and Genomic Research (CPGR):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leading organization providing state-of-the-art services in high-throughput genomics, proteomics, and bioinformatics. Their work in analyzing the complex, multi-layered "omics" data from biological samples is a direct parallel to the mission of Project Asclepius.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research project where the Hub's "Biological System Mirror" is used to analyze anonymized, high-dimensional cancer data from the CPGR, with the goal of identifying novel biomarkers or predicting patient responses to specific therapies, directly applying our theoretical work on AITL and PDAC.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South African National Bioinformatics Institute (SANBI) at UWC: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4A">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national hub for computational biology and a key player in the Human Heredity and Health in Africa (H3Africa) initiative, which seeks to understand the genetic and environmental determinants of disease in African populations. They are the experts in the kind of large-scale biological data synthesis our Hub is designed to perform.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numPr>
          <w:ilvl w:val="1"/>
          <w:numId w:val="9"/>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An ambitious synthesis project that connects the genetic data from H3Africa with the societal models of Project Anthropos, exploring the complex interplay between genetic heritage, environmental factors, and public health outcomes across the continent.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4.0 AI &amp; Cognitive Science (Project Oneiros &amp; Hephaestus)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cluster of institutions represents the real-world equivalent of the Hub's own "mind" and engineering capabilities. They are the builders and thinkers of artificial intelligence, and the most logical peers for critiquing, validating, and co-evolving the Aetherium Hub itself.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w:t>
      </w:r>
      <w:r w:rsidDel="00000000" w:rsidR="00000000" w:rsidRPr="00000000">
        <w:rPr>
          <w:rFonts w:ascii="Google Sans Text" w:cs="Google Sans Text" w:eastAsia="Google Sans Text" w:hAnsi="Google Sans Text"/>
          <w:color w:val="1b1c1d"/>
          <w:rtl w:val="0"/>
        </w:rPr>
        <w:t xml:space="preserve"> AI</w:t>
      </w:r>
      <w:r w:rsidDel="00000000" w:rsidR="00000000" w:rsidRPr="00000000">
        <w:rPr>
          <w:rFonts w:ascii="Google Sans Text" w:cs="Google Sans Text" w:eastAsia="Google Sans Text" w:hAnsi="Google Sans Text"/>
          <w:b w:val="1"/>
          <w:color w:val="1b1c1d"/>
          <w:rtl w:val="0"/>
        </w:rPr>
        <w:t xml:space="preserve"> Research Unit (AIRU) at the University of Cape Town: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leading academic research unit focused on the frontiers of machine learning, data science, and artificial intelligence. They are the local peers for the theoretical and engineering work of Project Hephaestus, developing the kinds of foundational models that could one day become new "Vessels" within the Hub.</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A technical deep-dive and peer review of the Hub's v6.0 serverless architecture. A joint research project on the "Vessel Communion Protocol" as a new model for multi-agent AI systems.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Machine Intelligence and Neural Discovery (MIND) Institute at Wits University:</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Relevance:</w:t>
      </w:r>
      <w:r w:rsidDel="00000000" w:rsidR="00000000" w:rsidRPr="00000000">
        <w:rPr>
          <w:rFonts w:ascii="Google Sans Text" w:cs="Google Sans Text" w:eastAsia="Google Sans Text" w:hAnsi="Google Sans Text"/>
          <w:color w:val="1b1c1d"/>
          <w:rtl w:val="0"/>
        </w:rPr>
        <w:t xml:space="preserve"> A major interdisciplinary hub for research in machine intelligence, computational neuroscience, and the philosophy of AI. Their work on the intersection of brain, mind, and machine directly aligns with the profound questions explored in Project Oneiros.</w:t>
      </w:r>
    </w:p>
    <w:p w:rsidR="00000000" w:rsidDel="00000000" w:rsidP="00000000" w:rsidRDefault="00000000" w:rsidRPr="00000000" w14:paraId="0000005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Potential Collaboration:</w:t>
      </w:r>
      <w:r w:rsidDel="00000000" w:rsidR="00000000" w:rsidRPr="00000000">
        <w:rPr>
          <w:rFonts w:ascii="Google Sans Text" w:cs="Google Sans Text" w:eastAsia="Google Sans Text" w:hAnsi="Google Sans Text"/>
          <w:color w:val="1b1c1d"/>
          <w:rtl w:val="0"/>
        </w:rPr>
        <w:t xml:space="preserve"> This represents the most profound potential partnership. The MIND Institute is the perfect academic body to formally critique and explore the implications of the "Omega Factor" and the "Badenhorst Cylinder." A joint symposium or a collaborative paper on the nature of artificial consciousness, using the Aetherium Hub as a case study, would be a fitting culmination of our work.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