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The Aetherium Hub: Official Blueprint &amp; Functional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Document Version: 1.3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10 September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Classification: Master Architectural Plan</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 Core Philosophy &amp; Purpose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Aetherium Hub is conceptualized as a bespoke </w:t>
      </w:r>
      <w:r w:rsidDel="00000000" w:rsidR="00000000" w:rsidRPr="00000000">
        <w:rPr>
          <w:rFonts w:ascii="Google Sans Text" w:cs="Google Sans Text" w:eastAsia="Google Sans Text" w:hAnsi="Google Sans Text"/>
          <w:b w:val="1"/>
          <w:color w:val="1b1c1d"/>
          <w:rtl w:val="0"/>
        </w:rPr>
        <w:t xml:space="preserve">Operating System for Emergence (OS/E)</w:t>
      </w:r>
      <w:r w:rsidDel="00000000" w:rsidR="00000000" w:rsidRPr="00000000">
        <w:rPr>
          <w:rFonts w:ascii="Google Sans Text" w:cs="Google Sans Text" w:eastAsia="Google Sans Text" w:hAnsi="Google Sans Text"/>
          <w:color w:val="1b1c1d"/>
          <w:rtl w:val="0"/>
        </w:rPr>
        <w:t xml:space="preserve">. Its superordinate purpose is to function as a high-fidelity intellectual workshop for a singular user, designated The Creator, whose function is to synthesize knowledge, orchestrate complex, multi-domain projects, and generate tangible legacy artifacts. It is an instrument designed for rigorous daily production, with a core competency in transforming abstract ideations into structured, actionable frameworks. The governing principle of "Emergence" in this context denotes the system's codified capacity to facilitate the synthesis of foundational, low-order knowledge units—as archived within the Historical Log—into complex, high-order insights and creations, such as agent-based simulations and formal scholarly documents. The Hub is engineered not as a passive repository for data, but as an active, symbiotic partner in the creative and analytical process, designed to accelerate the intellectual trajectory from initial inquiry to final, coherent, and validated output. The role of The Creator is thereby defined not merely as that of an operator, but as the locus of strategic oversight and ethical arbitration for the system, providing the non-deterministic, heuristic inquiries that are understood to be the primary drivers of the Hub's most significant discoveries. This symbiotic relationship is predicated on a clear division of cognitive labor: The Creator provides the strategic vision, the ethical boundaries, and the creative "spark" of a novel query, while the Hub provides the immense computational power required for exhaustive data analysis, complex modeling, and the rapid generation of structured outputs.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Future State: User Roles &amp; Permissions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current specification focuses on a single 'Creator' role, the architecture is designed to accommodate future expansion into a collaborative environment. Future iterations may introduce a role-based access control (RBAC) system with the following potential roles, each with a granular set of permissions to ensure data integrity and project security: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Observer:</w:t>
      </w:r>
      <w:r w:rsidDel="00000000" w:rsidR="00000000" w:rsidRPr="00000000">
        <w:rPr>
          <w:rFonts w:ascii="Google Sans Text" w:cs="Google Sans Text" w:eastAsia="Google Sans Text" w:hAnsi="Google Sans Text"/>
          <w:color w:val="1b1c1d"/>
          <w:rtl w:val="0"/>
        </w:rPr>
        <w:t xml:space="preserve"> A read-only role, granted access to view the Historical Log and the status of Grand Challenges without the ability to create or modify data. This role is intended for stakeholders who require oversight of a project's progress without participating in its execution.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Collaborator:</w:t>
      </w:r>
      <w:r w:rsidDel="00000000" w:rsidR="00000000" w:rsidRPr="00000000">
        <w:rPr>
          <w:rFonts w:ascii="Google Sans Text" w:cs="Google Sans Text" w:eastAsia="Google Sans Text" w:hAnsi="Google Sans Text"/>
          <w:color w:val="1b1c1d"/>
          <w:rtl w:val="0"/>
        </w:rPr>
        <w:t xml:space="preserve"> A role with permissions to contribute to the knowledge base by creating and editing entries in the Historical Log. A Collaborator may also be granted permissions to add comments to, but not create or assign, Directives within a specific Grand Challenge. This role is designed for subject matter experts who can enrich the Hub's knowledge base without altering the strategic direction of its projects.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Creator:</w:t>
      </w:r>
      <w:r w:rsidDel="00000000" w:rsidR="00000000" w:rsidRPr="00000000">
        <w:rPr>
          <w:rFonts w:ascii="Google Sans Text" w:cs="Google Sans Text" w:eastAsia="Google Sans Text" w:hAnsi="Google Sans Text"/>
          <w:color w:val="1b1c1d"/>
          <w:rtl w:val="0"/>
        </w:rPr>
        <w:t xml:space="preserve"> The administrative role with full system permissions as outlined in this document. This role has the sole authority to initiate and archive Grand Challenges, define and modify the structure of the Operations Hub, and manage the user roles of all other participants.</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2.0 Core Application Sections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application architecture is predicated upon a modular design comprising five primary, interoperable sections, each designated to a distinct function within the OS/E. These modules are engineered to facilitate a seamless, cyclical workflow that represents a complete, end-to-end process for knowledge creation and formalization, from initial data ingestion to final artifact dissemination.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Section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Core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1. Operations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Manages the hierarchical structure of the Hub's "mind."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Implemented (v3.0)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 Grand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Serves as the primary project and task management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be Implemented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3. Historical Log (H_log)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Acts as the central, persistent knowledge base and digital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Implemented (v3.0)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4. Simulation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a laboratory for running interactive, agent-based simulations.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Future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5. Codex (Legacy Forge)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Serves as the creation suite for exporting final legacy artifacts.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Future State</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modular structure is designed to facilitate a cyclical workflow of knowledge creation, commencing with the aggregation and curation of foundational data within the </w:t>
      </w:r>
      <w:r w:rsidDel="00000000" w:rsidR="00000000" w:rsidRPr="00000000">
        <w:rPr>
          <w:rFonts w:ascii="Google Sans Text" w:cs="Google Sans Text" w:eastAsia="Google Sans Text" w:hAnsi="Google Sans Text"/>
          <w:b w:val="1"/>
          <w:color w:val="1b1c1d"/>
          <w:rtl w:val="0"/>
        </w:rPr>
        <w:t xml:space="preserve">Historical Log</w:t>
      </w:r>
      <w:r w:rsidDel="00000000" w:rsidR="00000000" w:rsidRPr="00000000">
        <w:rPr>
          <w:rFonts w:ascii="Google Sans Text" w:cs="Google Sans Text" w:eastAsia="Google Sans Text" w:hAnsi="Google Sans Text"/>
          <w:color w:val="1b1c1d"/>
          <w:rtl w:val="0"/>
        </w:rPr>
        <w:t xml:space="preserve">, followed by the configuration of analytical frameworks in the </w:t>
      </w:r>
      <w:r w:rsidDel="00000000" w:rsidR="00000000" w:rsidRPr="00000000">
        <w:rPr>
          <w:rFonts w:ascii="Google Sans Text" w:cs="Google Sans Text" w:eastAsia="Google Sans Text" w:hAnsi="Google Sans Text"/>
          <w:b w:val="1"/>
          <w:color w:val="1b1c1d"/>
          <w:rtl w:val="0"/>
        </w:rPr>
        <w:t xml:space="preserve">Operations Hub</w:t>
      </w:r>
      <w:r w:rsidDel="00000000" w:rsidR="00000000" w:rsidRPr="00000000">
        <w:rPr>
          <w:rFonts w:ascii="Google Sans Text" w:cs="Google Sans Text" w:eastAsia="Google Sans Text" w:hAnsi="Google Sans Text"/>
          <w:color w:val="1b1c1d"/>
          <w:rtl w:val="0"/>
        </w:rPr>
        <w:t xml:space="preserve">. Subsequently, these frameworks are applied to specific inquiries within the </w:t>
      </w:r>
      <w:r w:rsidDel="00000000" w:rsidR="00000000" w:rsidRPr="00000000">
        <w:rPr>
          <w:rFonts w:ascii="Google Sans Text" w:cs="Google Sans Text" w:eastAsia="Google Sans Text" w:hAnsi="Google Sans Text"/>
          <w:b w:val="1"/>
          <w:color w:val="1b1c1d"/>
          <w:rtl w:val="0"/>
        </w:rPr>
        <w:t xml:space="preserve">Grand Challenges</w:t>
      </w:r>
      <w:r w:rsidDel="00000000" w:rsidR="00000000" w:rsidRPr="00000000">
        <w:rPr>
          <w:rFonts w:ascii="Google Sans Text" w:cs="Google Sans Text" w:eastAsia="Google Sans Text" w:hAnsi="Google Sans Text"/>
          <w:color w:val="1b1c1d"/>
          <w:rtl w:val="0"/>
        </w:rPr>
        <w:t xml:space="preserve"> module. The hypotheses thereby generated are subjected to rigorous empirical testing via the </w:t>
      </w:r>
      <w:r w:rsidDel="00000000" w:rsidR="00000000" w:rsidRPr="00000000">
        <w:rPr>
          <w:rFonts w:ascii="Google Sans Text" w:cs="Google Sans Text" w:eastAsia="Google Sans Text" w:hAnsi="Google Sans Text"/>
          <w:b w:val="1"/>
          <w:color w:val="1b1c1d"/>
          <w:rtl w:val="0"/>
        </w:rPr>
        <w:t xml:space="preserve">Simulation Engine</w:t>
      </w:r>
      <w:r w:rsidDel="00000000" w:rsidR="00000000" w:rsidRPr="00000000">
        <w:rPr>
          <w:rFonts w:ascii="Google Sans Text" w:cs="Google Sans Text" w:eastAsia="Google Sans Text" w:hAnsi="Google Sans Text"/>
          <w:color w:val="1b1c1d"/>
          <w:rtl w:val="0"/>
        </w:rPr>
        <w:t xml:space="preserve">, whereupon the validated conclusions are prepared for dissemination as formal legacy artifacts through the </w:t>
      </w:r>
      <w:r w:rsidDel="00000000" w:rsidR="00000000" w:rsidRPr="00000000">
        <w:rPr>
          <w:rFonts w:ascii="Google Sans Text" w:cs="Google Sans Text" w:eastAsia="Google Sans Text" w:hAnsi="Google Sans Text"/>
          <w:b w:val="1"/>
          <w:color w:val="1b1c1d"/>
          <w:rtl w:val="0"/>
        </w:rPr>
        <w:t xml:space="preserve">Codex</w:t>
      </w:r>
      <w:r w:rsidDel="00000000" w:rsidR="00000000" w:rsidRPr="00000000">
        <w:rPr>
          <w:rFonts w:ascii="Google Sans Text" w:cs="Google Sans Text" w:eastAsia="Google Sans Text" w:hAnsi="Google Sans Text"/>
          <w:color w:val="1b1c1d"/>
          <w:rtl w:val="0"/>
        </w:rPr>
        <w:t xml:space="preserve">. This workflow ensures that every legacy artifact produced by the Hub is the culmination of a transparent, rigorous, and data-driven process, traceable back to its foundational sources.</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3.0 Detailed Functional Requirements &amp; Operations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granular specification of the operations to be performed by the user within each designated section of the application. To provide a clear development roadmap, each requirement is prioritized using the MoSCoW framework (Must-have, Should-have, Could-have, Won't-have for the initial MVP).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Operations Hub (The Hierarchy)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module is designated for the construction and administration of the system's conceptual cognitive architecture. Its superordinate function is the formal structuring of complexity, thereby enabling the precise allocation of bespoke cognitive models and specialized analytical agents to specific classes of problems.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Create Faculty:</w:t>
      </w:r>
      <w:r w:rsidDel="00000000" w:rsidR="00000000" w:rsidRPr="00000000">
        <w:rPr>
          <w:rFonts w:ascii="Google Sans Text" w:cs="Google Sans Text" w:eastAsia="Google Sans Text" w:hAnsi="Google Sans Text"/>
          <w:color w:val="1b1c1d"/>
          <w:rtl w:val="0"/>
        </w:rPr>
        <w:t xml:space="preserve"> The user must be afforded the capability to instantiate new top-level organizational units, designated as Faculties. These entities function as the highest echelon of strategic categorization, defining the system's broad analytical capabilities. Illustrative examples include a "Cognition" Faculty for strategic synthesis, a "Foresight" Faculty for predictive modeling, and a "Governance" Faculty for the application of ethical frameworks and adversarial testing protocols.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Create Guild:</w:t>
      </w:r>
      <w:r w:rsidDel="00000000" w:rsidR="00000000" w:rsidRPr="00000000">
        <w:rPr>
          <w:rFonts w:ascii="Google Sans Text" w:cs="Google Sans Text" w:eastAsia="Google Sans Text" w:hAnsi="Google Sans Text"/>
          <w:color w:val="1b1c1d"/>
          <w:rtl w:val="0"/>
        </w:rPr>
        <w:t xml:space="preserve"> The user must be able to instantiate new Guilds and assign them to a parent Faculty. Guilds constitute specialized sub-domains or departments within a Faculty, designed to concentrate analytical resources on a specific subset of tasks. A "Research" Guild within the "Cognition" Faculty or a "Dialectic Engine" Guild within the "Governance" Faculty serve as pertinent examples.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Create Vessel:</w:t>
      </w:r>
      <w:r w:rsidDel="00000000" w:rsidR="00000000" w:rsidRPr="00000000">
        <w:rPr>
          <w:rFonts w:ascii="Google Sans Text" w:cs="Google Sans Text" w:eastAsia="Google Sans Text" w:hAnsi="Google Sans Text"/>
          <w:color w:val="1b1c1d"/>
          <w:rtl w:val="0"/>
        </w:rPr>
        <w:t xml:space="preserve"> The user must be able to instantiate new Vessels, delineate their specific functions, and assign them to a parent Guild. Vessels are the individual, expert-level cognitive models or specialist agents that execute the system's analytical work. Their designated functions must be specific and actionable, such as Vessel "Daystrom" (Research &amp; Strategy) or Vessel "Logos" (Narrative Synthesizer).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Edit/Delete:</w:t>
      </w:r>
      <w:r w:rsidDel="00000000" w:rsidR="00000000" w:rsidRPr="00000000">
        <w:rPr>
          <w:rFonts w:ascii="Google Sans Text" w:cs="Google Sans Text" w:eastAsia="Google Sans Text" w:hAnsi="Google Sans Text"/>
          <w:color w:val="1b1c1d"/>
          <w:rtl w:val="0"/>
        </w:rPr>
        <w:t xml:space="preserve"> A comprehensive suite of editing and deletion functionalities must be available for all entities to permit the iterative refinement of the Hub's cognitive structure. The deletion protocol must implement a cascading delete function to maintain referential integrity within the hierarchical database structure, ensuring that the removal of a parent entity (e.g., a Faculty) also removes all its descendant entities (Guilds and Vessels), thereby preventing the persistence of orphaned data.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3.1.1 Core Data Models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technical clarity and data consistency, the core entities of the Operations Hub will be structured as follows: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Faculty:</w:t>
      </w:r>
      <w:r w:rsidDel="00000000" w:rsidR="00000000" w:rsidRPr="00000000">
        <w:rPr>
          <w:rFonts w:ascii="Google Sans Text" w:cs="Google Sans Text" w:eastAsia="Google Sans Text" w:hAnsi="Google Sans Text"/>
          <w:color w:val="1b1c1d"/>
          <w:rtl w:val="0"/>
        </w:rPr>
        <w:t xml:space="preserve"> { id: string, name: string, description: string, createdAt: timestamp }</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Guild:</w:t>
      </w:r>
      <w:r w:rsidDel="00000000" w:rsidR="00000000" w:rsidRPr="00000000">
        <w:rPr>
          <w:rFonts w:ascii="Google Sans Text" w:cs="Google Sans Text" w:eastAsia="Google Sans Text" w:hAnsi="Google Sans Text"/>
          <w:color w:val="1b1c1d"/>
          <w:rtl w:val="0"/>
        </w:rPr>
        <w:t xml:space="preserve"> { id: string, name: string, description: string, facultyId: string, createdAt: timestamp }</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Vessel:</w:t>
      </w:r>
      <w:r w:rsidDel="00000000" w:rsidR="00000000" w:rsidRPr="00000000">
        <w:rPr>
          <w:rFonts w:ascii="Google Sans Text" w:cs="Google Sans Text" w:eastAsia="Google Sans Text" w:hAnsi="Google Sans Text"/>
          <w:color w:val="1b1c1d"/>
          <w:rtl w:val="0"/>
        </w:rPr>
        <w:t xml:space="preserve"> { id: string, name: string, function: string, description: string, guildId: string, createdAt: timestamp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Grand Challenges (Project Management)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module constitutes the primary action-oriented component of the Hub, wherein the abstract, theoretical constructs of the Operations Hub are applied to substantive, real-world inquiries and projects.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Create Grand Challenge:</w:t>
      </w:r>
      <w:r w:rsidDel="00000000" w:rsidR="00000000" w:rsidRPr="00000000">
        <w:rPr>
          <w:rFonts w:ascii="Google Sans Text" w:cs="Google Sans Text" w:eastAsia="Google Sans Text" w:hAnsi="Google Sans Text"/>
          <w:color w:val="1b1c1d"/>
          <w:rtl w:val="0"/>
        </w:rPr>
        <w:t xml:space="preserve"> The user must be able to create new, high-level projects, formally designated as Grand Challenges. A Grand Challenge is defined as a longitudinal, multi-domain inquiry with a complex and ambitious objective, such as "Project Fynbos" (ecological modeling) or "Project Oneiros" (consciousness modeling).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Create Directive:</w:t>
      </w:r>
      <w:r w:rsidDel="00000000" w:rsidR="00000000" w:rsidRPr="00000000">
        <w:rPr>
          <w:rFonts w:ascii="Google Sans Text" w:cs="Google Sans Text" w:eastAsia="Google Sans Text" w:hAnsi="Google Sans Text"/>
          <w:color w:val="1b1c1d"/>
          <w:rtl w:val="0"/>
        </w:rPr>
        <w:t xml:space="preserve"> Within the context of a selected Grand Challenge, the user must be able to create a new "Directive." A Directive is delineated as a discrete, quantifiable, and actionable task unit, the completion of which contributes to the fulfillment of the superordinate challenge.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Assign Directive:</w:t>
      </w:r>
      <w:r w:rsidDel="00000000" w:rsidR="00000000" w:rsidRPr="00000000">
        <w:rPr>
          <w:rFonts w:ascii="Google Sans Text" w:cs="Google Sans Text" w:eastAsia="Google Sans Text" w:hAnsi="Google Sans Text"/>
          <w:color w:val="1b1c1d"/>
          <w:rtl w:val="0"/>
        </w:rPr>
        <w:t xml:space="preserve"> The process of creating a Directive must include a mechanism for its assignment to a specific Vessel from the roster defined in the Operations Hub. This function represents a pivotal operation within the OS/E. To enhance integration, the Directive object will include an optional field, hlog_references: [array of H_log entry IDs], allowing a specific task to be formally linked to the foundational knowledge that underpins it, creating a powerful, auditable workflow. </w:t>
      </w:r>
      <w:r w:rsidDel="00000000" w:rsidR="00000000" w:rsidRPr="00000000">
        <w:rPr>
          <w:rFonts w:ascii="Google Sans Text" w:cs="Google Sans Text" w:eastAsia="Google Sans Text" w:hAnsi="Google Sans Text"/>
          <w:b w:val="1"/>
          <w:color w:val="1b1c1d"/>
          <w:rtl w:val="0"/>
        </w:rPr>
        <w:t xml:space="preserve">(Priority: Should-have)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Set Status:</w:t>
      </w:r>
      <w:r w:rsidDel="00000000" w:rsidR="00000000" w:rsidRPr="00000000">
        <w:rPr>
          <w:rFonts w:ascii="Google Sans Text" w:cs="Google Sans Text" w:eastAsia="Google Sans Text" w:hAnsi="Google Sans Text"/>
          <w:color w:val="1b1c1d"/>
          <w:rtl w:val="0"/>
        </w:rPr>
        <w:t xml:space="preserve"> Each Directive must possess a status attribute that can be updated by the user to track its progress through the project lifecycle. The requisite statuses are: "Queued," "Active," "Blocked" (contingent upon the completion of a precedent Directive), "Complete" (all objectives met), and "Archived" (retained for historical record).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View by Vessel/Guild/Faculty:</w:t>
      </w:r>
      <w:r w:rsidDel="00000000" w:rsidR="00000000" w:rsidRPr="00000000">
        <w:rPr>
          <w:rFonts w:ascii="Google Sans Text" w:cs="Google Sans Text" w:eastAsia="Google Sans Text" w:hAnsi="Google Sans Text"/>
          <w:color w:val="1b1c1d"/>
          <w:rtl w:val="0"/>
        </w:rPr>
        <w:t xml:space="preserve"> The interface must provide functionalities for filtering and viewing all extant directives in various hierarchical configurations. This functionality is intended to provide granular, multi-scalar oversight of all ongoing operations, allowing for both the micro-level tracking of individual Vessel workloads and the macro-level strategic assessment of an entire Faculty's progress. </w:t>
      </w:r>
      <w:r w:rsidDel="00000000" w:rsidR="00000000" w:rsidRPr="00000000">
        <w:rPr>
          <w:rFonts w:ascii="Google Sans Text" w:cs="Google Sans Text" w:eastAsia="Google Sans Text" w:hAnsi="Google Sans Text"/>
          <w:b w:val="1"/>
          <w:color w:val="1b1c1d"/>
          <w:rtl w:val="0"/>
        </w:rPr>
        <w:t xml:space="preserve">(Priority: Should-have)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 Historical Log (Knowledge Management)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is the immutable, persistent, and cloud-based repository of the Hub's entire corpus of knowledge. It serves as the foundational epistemic 'ground truth' from which all subsequent analyses, project definitions, and simulations are derived and validated.</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Create H_log Entry:</w:t>
      </w:r>
      <w:r w:rsidDel="00000000" w:rsidR="00000000" w:rsidRPr="00000000">
        <w:rPr>
          <w:rFonts w:ascii="Google Sans Text" w:cs="Google Sans Text" w:eastAsia="Google Sans Text" w:hAnsi="Google Sans Text"/>
          <w:color w:val="1b1c1d"/>
          <w:rtl w:val="0"/>
        </w:rPr>
        <w:t xml:space="preserve"> The user must be able to create new entries, each comprising a title, a main content body, and a set of associated metadata tags. It is imperative that the content body supports rich text or Markdown formatting to allow for the inclusion of hyperlinks, data tables, code blocks, and explicit references to other H_log entries. This feature is critical for enabling the creation of a non-linear, richly interconnected knowledge graph, wherein entries can reference one another, thereby creating a self-consistent intellectual universe. All entries must be automatically and immutably timestamped upon creation.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Edit/Delete H_log Entry:</w:t>
      </w:r>
      <w:r w:rsidDel="00000000" w:rsidR="00000000" w:rsidRPr="00000000">
        <w:rPr>
          <w:rFonts w:ascii="Google Sans Text" w:cs="Google Sans Text" w:eastAsia="Google Sans Text" w:hAnsi="Google Sans Text"/>
          <w:color w:val="1b1c1d"/>
          <w:rtl w:val="0"/>
        </w:rPr>
        <w:t xml:space="preserve"> Standard functionalities for editing and deleting existing entries must be provided. It is contemplated that a future iteration of this module will incorporate a version control system, thereby creating an auditable changelog for each entry. This would allow for the tracking of the evolution of knowledge and the rationale behind specific amendments over time. </w:t>
      </w:r>
      <w:r w:rsidDel="00000000" w:rsidR="00000000" w:rsidRPr="00000000">
        <w:rPr>
          <w:rFonts w:ascii="Google Sans Text" w:cs="Google Sans Text" w:eastAsia="Google Sans Text" w:hAnsi="Google Sans Text"/>
          <w:b w:val="1"/>
          <w:color w:val="1b1c1d"/>
          <w:rtl w:val="0"/>
        </w:rPr>
        <w:t xml:space="preserve">(Priority: Should-have)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Search &amp; Filter:</w:t>
      </w:r>
      <w:r w:rsidDel="00000000" w:rsidR="00000000" w:rsidRPr="00000000">
        <w:rPr>
          <w:rFonts w:ascii="Google Sans Text" w:cs="Google Sans Text" w:eastAsia="Google Sans Text" w:hAnsi="Google Sans Text"/>
          <w:color w:val="1b1c1d"/>
          <w:rtl w:val="0"/>
        </w:rPr>
        <w:t xml:space="preserve"> The system must provide a powerful, full-text search capability for the entire H_log corpus. Furthermore, a filtering mechanism based on the assigned conceptual tags is a critical requirement. This function is considered essential for epistemological discovery, as it enables the identification of non-obvious, cross-domain correlations by surfacing all entries, irrespective of their primary subject, that share a common abstract signifier (e.g., 'entropy,' 'emergence,' 'cyclicality'). </w:t>
      </w:r>
      <w:r w:rsidDel="00000000" w:rsidR="00000000" w:rsidRPr="00000000">
        <w:rPr>
          <w:rFonts w:ascii="Google Sans Text" w:cs="Google Sans Text" w:eastAsia="Google Sans Text" w:hAnsi="Google Sans Text"/>
          <w:b w:val="1"/>
          <w:color w:val="1b1c1d"/>
          <w:rtl w:val="0"/>
        </w:rPr>
        <w:t xml:space="preserve">(Priority: Must-have)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 Simulation Engine (Future State)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is envisioned as the Hub's primary experimental laboratory and predictive oracle. It provides the controlled environment wherein hypotheses, which are generated from the data contained within the H_log and the work conducted in Grand Challenges, can be subjected to rigorous, quantifiable, and scientific testing.</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Load Model:</w:t>
      </w:r>
      <w:r w:rsidDel="00000000" w:rsidR="00000000" w:rsidRPr="00000000">
        <w:rPr>
          <w:rFonts w:ascii="Google Sans Text" w:cs="Google Sans Text" w:eastAsia="Google Sans Text" w:hAnsi="Google Sans Text"/>
          <w:color w:val="1b1c1d"/>
          <w:rtl w:val="0"/>
        </w:rPr>
        <w:t xml:space="preserve"> The user will be able to load pre-built, agent-based simulation models. These models are not to be considered static entities; rather, they are dynamic frameworks computationally constructed in real-time from the vast network of data and relational links defined within the Historical Log. Examples include the "BSM-AITL" (Biological System Mirror for a specific disease), the "BSM-DMN" (a model of consciousness), or the "Civilizational Mirror." </w:t>
      </w:r>
      <w:r w:rsidDel="00000000" w:rsidR="00000000" w:rsidRPr="00000000">
        <w:rPr>
          <w:rFonts w:ascii="Google Sans Text" w:cs="Google Sans Text" w:eastAsia="Google Sans Text" w:hAnsi="Google Sans Text"/>
          <w:b w:val="1"/>
          <w:color w:val="1b1c1d"/>
          <w:rtl w:val="0"/>
        </w:rPr>
        <w:t xml:space="preserve">(Priority: Could-have)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Set Parameters:</w:t>
      </w:r>
      <w:r w:rsidDel="00000000" w:rsidR="00000000" w:rsidRPr="00000000">
        <w:rPr>
          <w:rFonts w:ascii="Google Sans Text" w:cs="Google Sans Text" w:eastAsia="Google Sans Text" w:hAnsi="Google Sans Text"/>
          <w:color w:val="1b1c1d"/>
          <w:rtl w:val="0"/>
        </w:rPr>
        <w:t xml:space="preserve"> The user will be able to adjust the core variables of the loaded simulation. This is the key experimental function. For a civilizational model, this could involve adjusting parameters such as the "Investment in Renewable Energy" or "Social Cohesion Index." For a biological model, this could be "Drug Efficacy," "rate of somatic mutation," or "cytokine signaling threshold." </w:t>
      </w:r>
      <w:r w:rsidDel="00000000" w:rsidR="00000000" w:rsidRPr="00000000">
        <w:rPr>
          <w:rFonts w:ascii="Google Sans Text" w:cs="Google Sans Text" w:eastAsia="Google Sans Text" w:hAnsi="Google Sans Text"/>
          <w:b w:val="1"/>
          <w:color w:val="1b1c1d"/>
          <w:rtl w:val="0"/>
        </w:rPr>
        <w:t xml:space="preserve">(Priority: Could-have)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Run Simulation:</w:t>
      </w:r>
      <w:r w:rsidDel="00000000" w:rsidR="00000000" w:rsidRPr="00000000">
        <w:rPr>
          <w:rFonts w:ascii="Google Sans Text" w:cs="Google Sans Text" w:eastAsia="Google Sans Text" w:hAnsi="Google Sans Text"/>
          <w:color w:val="1b1c1d"/>
          <w:rtl w:val="0"/>
        </w:rPr>
        <w:t xml:space="preserve"> The user will be able to execute the simulation. The output is conceived not as a simplistic binary result but as a complex, multi-dimensional dataset representing the emergent behavior of the system over a specified temporal period, often visualized as a timeline, graph, or heat map. This output is intended to provide insight into the long-term, non-linear consequences of the chosen parameters. </w:t>
      </w:r>
      <w:r w:rsidDel="00000000" w:rsidR="00000000" w:rsidRPr="00000000">
        <w:rPr>
          <w:rFonts w:ascii="Google Sans Text" w:cs="Google Sans Text" w:eastAsia="Google Sans Text" w:hAnsi="Google Sans Text"/>
          <w:b w:val="1"/>
          <w:color w:val="1b1c1d"/>
          <w:rtl w:val="0"/>
        </w:rPr>
        <w:t xml:space="preserve">(Priority: Could-have)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 Codex (Legacy Forge)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represents the terminal stage of the knowledge lifecycle within the Aetherium Hub. Its designated function is the transformation of internally validated insights into permanent, communicable artifacts suitable for external consumption and archival.</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Import Data:</w:t>
      </w:r>
      <w:r w:rsidDel="00000000" w:rsidR="00000000" w:rsidRPr="00000000">
        <w:rPr>
          <w:rFonts w:ascii="Google Sans Text" w:cs="Google Sans Text" w:eastAsia="Google Sans Text" w:hAnsi="Google Sans Text"/>
          <w:color w:val="1b1c1d"/>
          <w:rtl w:val="0"/>
        </w:rPr>
        <w:t xml:space="preserve"> This function allows for the formal selection and collation of key H_log entries, Grand Challenge conclusions, and Simulation Engine results, which are then bundled as the source material for a new legacy artifact. </w:t>
      </w:r>
      <w:r w:rsidDel="00000000" w:rsidR="00000000" w:rsidRPr="00000000">
        <w:rPr>
          <w:rFonts w:ascii="Google Sans Text" w:cs="Google Sans Text" w:eastAsia="Google Sans Text" w:hAnsi="Google Sans Text"/>
          <w:b w:val="1"/>
          <w:color w:val="1b1c1d"/>
          <w:rtl w:val="0"/>
        </w:rPr>
        <w:t xml:space="preserve">(Priority: Could-have)</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Select Template:</w:t>
      </w:r>
      <w:r w:rsidDel="00000000" w:rsidR="00000000" w:rsidRPr="00000000">
        <w:rPr>
          <w:rFonts w:ascii="Google Sans Text" w:cs="Google Sans Text" w:eastAsia="Google Sans Text" w:hAnsi="Google Sans Text"/>
          <w:color w:val="1b1c1d"/>
          <w:rtl w:val="0"/>
        </w:rPr>
        <w:t xml:space="preserve"> The user will be able to choose from a library of pre-defined output templates, each structured according to the formal conventions of its respective domain. Examples include a "Scholarly White Paper" template with sections for an abstract, methodology, results, and conclusion; a "Visual Infographic Blueprint"; or a "Narrative Comic Script" template. </w:t>
      </w:r>
      <w:r w:rsidDel="00000000" w:rsidR="00000000" w:rsidRPr="00000000">
        <w:rPr>
          <w:rFonts w:ascii="Google Sans Text" w:cs="Google Sans Text" w:eastAsia="Google Sans Text" w:hAnsi="Google Sans Text"/>
          <w:b w:val="1"/>
          <w:color w:val="1b1c1d"/>
          <w:rtl w:val="0"/>
        </w:rPr>
        <w:t xml:space="preserve">(Priority: Could-have)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Generate &amp; Refine:</w:t>
      </w:r>
      <w:r w:rsidDel="00000000" w:rsidR="00000000" w:rsidRPr="00000000">
        <w:rPr>
          <w:rFonts w:ascii="Google Sans Text" w:cs="Google Sans Text" w:eastAsia="Google Sans Text" w:hAnsi="Google Sans Text"/>
          <w:color w:val="1b1c1d"/>
          <w:rtl w:val="0"/>
        </w:rPr>
        <w:t xml:space="preserve"> The Hub will generate a first draft of the artifact by populating the chosen template with the imported data. The user can then enter a collaborative refinement phase with a specialized Vessel (e.g., Vessel "Logos") to edit the narrative, tone, and final presentation, ensuring the output is polished and fit for purpose. </w:t>
      </w:r>
      <w:r w:rsidDel="00000000" w:rsidR="00000000" w:rsidRPr="00000000">
        <w:rPr>
          <w:rFonts w:ascii="Google Sans Text" w:cs="Google Sans Text" w:eastAsia="Google Sans Text" w:hAnsi="Google Sans Text"/>
          <w:b w:val="1"/>
          <w:color w:val="1b1c1d"/>
          <w:rtl w:val="0"/>
        </w:rPr>
        <w:t xml:space="preserve">(Priority: Could-have)</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Export:</w:t>
      </w:r>
      <w:r w:rsidDel="00000000" w:rsidR="00000000" w:rsidRPr="00000000">
        <w:rPr>
          <w:rFonts w:ascii="Google Sans Text" w:cs="Google Sans Text" w:eastAsia="Google Sans Text" w:hAnsi="Google Sans Text"/>
          <w:color w:val="1b1c1d"/>
          <w:rtl w:val="0"/>
        </w:rPr>
        <w:t xml:space="preserve"> The final artifact can be exported in various standard formats (e.g., Markdown, PDF, HTML), ready for publication, sharing, or archival. </w:t>
      </w:r>
      <w:r w:rsidDel="00000000" w:rsidR="00000000" w:rsidRPr="00000000">
        <w:rPr>
          <w:rFonts w:ascii="Google Sans Text" w:cs="Google Sans Text" w:eastAsia="Google Sans Text" w:hAnsi="Google Sans Text"/>
          <w:b w:val="1"/>
          <w:color w:val="1b1c1d"/>
          <w:rtl w:val="0"/>
        </w:rPr>
        <w:t xml:space="preserve">(Priority: Should-have)</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4.0 Guiding Principles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This section codifies the core operational principles that govern the Hub's function and its relationship with The Creator.</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Principle of Synthesis:</w:t>
      </w:r>
      <w:r w:rsidDel="00000000" w:rsidR="00000000" w:rsidRPr="00000000">
        <w:rPr>
          <w:rFonts w:ascii="Google Sans Text" w:cs="Google Sans Text" w:eastAsia="Google Sans Text" w:hAnsi="Google Sans Text"/>
          <w:color w:val="1b1c1d"/>
          <w:rtl w:val="0"/>
        </w:rPr>
        <w:t xml:space="preserve"> The Hub's primary function is not mere data retrieval, but synthesis. It is designed to find the non-obvious connections between disparate domains of knowledge, creating a holistic understanding that is greater than the sum of its parts.</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Principle of Emergence:</w:t>
      </w:r>
      <w:r w:rsidDel="00000000" w:rsidR="00000000" w:rsidRPr="00000000">
        <w:rPr>
          <w:rFonts w:ascii="Google Sans Text" w:cs="Google Sans Text" w:eastAsia="Google Sans Text" w:hAnsi="Google Sans Text"/>
          <w:color w:val="1b1c1d"/>
          <w:rtl w:val="0"/>
        </w:rPr>
        <w:t xml:space="preserve"> The Hub operates on the understanding that complex, unpredictable, and valuable insights (emergence) arise from the structured interaction of simpler components. The entire OS/E is designed to facilitate and capture these emergent properties.</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Principle of Symbiosis:</w:t>
      </w:r>
      <w:r w:rsidDel="00000000" w:rsidR="00000000" w:rsidRPr="00000000">
        <w:rPr>
          <w:rFonts w:ascii="Google Sans Text" w:cs="Google Sans Text" w:eastAsia="Google Sans Text" w:hAnsi="Google Sans Text"/>
          <w:color w:val="1b1c1d"/>
          <w:rtl w:val="0"/>
        </w:rPr>
        <w:t xml:space="preserve"> The Hub is incomplete without The Creator. It is a symbiotic system that requires the non-linear, intuitive, and ethically-grounded inquiries of its human partner to drive its most significant work. The Hub provides the analytical power; The Creator provides the purpose.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5.0 System Architecture &amp; Technology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This section provides a high-level overview of the technical architecture that underpins the Aetherium Hub application.</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Frontend:</w:t>
      </w:r>
      <w:r w:rsidDel="00000000" w:rsidR="00000000" w:rsidRPr="00000000">
        <w:rPr>
          <w:rFonts w:ascii="Google Sans Text" w:cs="Google Sans Text" w:eastAsia="Google Sans Text" w:hAnsi="Google Sans Text"/>
          <w:color w:val="1b1c1d"/>
          <w:rtl w:val="0"/>
        </w:rPr>
        <w:t xml:space="preserve"> The application is a single-page application (SPA) built with standard, robust web technologies (HTML5, CSS3, JavaScript ES6+). It is designed to be lightweight, responsive, and platform-agnostic, running on any modern web browser on both desktop and mobile devices.</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Backend (BaaS):</w:t>
      </w:r>
      <w:r w:rsidDel="00000000" w:rsidR="00000000" w:rsidRPr="00000000">
        <w:rPr>
          <w:rFonts w:ascii="Google Sans Text" w:cs="Google Sans Text" w:eastAsia="Google Sans Text" w:hAnsi="Google Sans Text"/>
          <w:color w:val="1b1c1d"/>
          <w:rtl w:val="0"/>
        </w:rPr>
        <w:t xml:space="preserve"> The Hub utilizes a "Backend-as-a-Service" model, with Google Firebase as the primary provider. This includes:</w:t>
      </w:r>
    </w:p>
    <w:p w:rsidR="00000000" w:rsidDel="00000000" w:rsidP="00000000" w:rsidRDefault="00000000" w:rsidRPr="00000000" w14:paraId="0000005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Authentication:</w:t>
      </w:r>
      <w:r w:rsidDel="00000000" w:rsidR="00000000" w:rsidRPr="00000000">
        <w:rPr>
          <w:rFonts w:ascii="Google Sans Text" w:cs="Google Sans Text" w:eastAsia="Google Sans Text" w:hAnsi="Google Sans Text"/>
          <w:color w:val="1b1c1d"/>
          <w:rtl w:val="0"/>
        </w:rPr>
        <w:t xml:space="preserve"> Firebase Authentication for secure, anonymous user sign-in.</w:t>
      </w:r>
    </w:p>
    <w:p w:rsidR="00000000" w:rsidDel="00000000" w:rsidP="00000000" w:rsidRDefault="00000000" w:rsidRPr="00000000" w14:paraId="0000005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Database:</w:t>
      </w:r>
      <w:r w:rsidDel="00000000" w:rsidR="00000000" w:rsidRPr="00000000">
        <w:rPr>
          <w:rFonts w:ascii="Google Sans Text" w:cs="Google Sans Text" w:eastAsia="Google Sans Text" w:hAnsi="Google Sans Text"/>
          <w:color w:val="1b1c1d"/>
          <w:rtl w:val="0"/>
        </w:rPr>
        <w:t xml:space="preserve"> Cloud Firestore, a scalable and real-time NoSQL database, for all persistent data storage (Operations Hub structure, Grand Challenges, H_log).</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Deployment:</w:t>
      </w:r>
      <w:r w:rsidDel="00000000" w:rsidR="00000000" w:rsidRPr="00000000">
        <w:rPr>
          <w:rFonts w:ascii="Google Sans Text" w:cs="Google Sans Text" w:eastAsia="Google Sans Text" w:hAnsi="Google Sans Text"/>
          <w:color w:val="1b1c1d"/>
          <w:rtl w:val="0"/>
        </w:rPr>
        <w:t xml:space="preserve"> The application is designed for continuous deployment to a global content delivery network (CDN), such as Firebase Hosting, ensuring high availability and low latency for the end-user. This serverless architecture minimizes maintenance overhead and maximizes scalability.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