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Ind w:type="dxa" w:w="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4680"/>
        <w:gridCol w:w="4680"/>
      </w:tblGrid>
      <w:tr>
        <w:trPr>
          <w:cantSplit/>
        </w:trPr>
        <w:tc>
          <w:tcPr>
            <w:tcW w:type="dxa" w:w="4680"/>
            <w:tcBorders>
              <w:top w:val="none" w:color="FFFFFF" w:sz="0"/>
              <w:left w:val="none" w:color="FFFFFF" w:sz="0"/>
              <w:bottom w:val="none" w:color="FFFFFF" w:sz="0"/>
              <w:right w:val="none" w:color="FFFFFF" w:sz="0"/>
            </w:tcBorders>
            <w:shd w:fill="0D1A29" w:color="auto" w:val="clear"/>
            <w:tcMar>
              <w:top w:type="dxa" w:w="100"/>
              <w:left w:type="dxa" w:w="140"/>
              <w:bottom w:type="dxa" w:w="100"/>
              <w:right w:type="dxa" w:w="140"/>
            </w:tcMar>
            <w:vAlign w:val="center"/>
          </w:tcPr>
          <w:p>
            <w:pPr>
              <w:spacing w:after="0"/>
            </w:pPr>
            <w:r>
              <w:drawing>
                <wp:inline distT="0" distB="0" distL="0" distR="0">
                  <wp:extent cx="285750" cy="285750"/>
                  <wp:effectExtent t="0" r="0" b="0" l="0"/>
                  <wp:docPr id="1" name="SiteMorph logo" descr="SiteMorph logo" title="SiteMorp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 cy="285750"/>
                          </a:xfrm>
                          <a:prstGeom prst="rect">
                            <a:avLst/>
                          </a:prstGeom>
                        </pic:spPr>
                      </pic:pic>
                    </a:graphicData>
                  </a:graphic>
                </wp:inline>
              </w:drawing>
            </w:r>
            <w:r>
              <w:rPr>
                <w:rFonts w:ascii="Calibri" w:cs="Calibri" w:eastAsia="Calibri" w:hAnsi="Calibri"/>
                <w:color w:val="FFFFFF"/>
                <w:sz w:val="22"/>
                <w:szCs w:val="22"/>
              </w:rPr>
              <w:t xml:space="preserve">  </w:t>
            </w:r>
            <w:r>
              <w:rPr>
                <w:rFonts w:ascii="Calibri" w:cs="Calibri" w:eastAsia="Calibri" w:hAnsi="Calibri"/>
                <w:b/>
                <w:bCs/>
                <w:color w:val="FFFFFF"/>
                <w:sz w:val="26"/>
                <w:szCs w:val="26"/>
              </w:rPr>
              <w:t xml:space="preserve">SiteMorph</w:t>
            </w:r>
          </w:p>
        </w:tc>
        <w:tc>
          <w:tcPr>
            <w:tcW w:type="dxa" w:w="4680"/>
            <w:tcBorders>
              <w:top w:val="none" w:color="FFFFFF" w:sz="0"/>
              <w:left w:val="none" w:color="FFFFFF" w:sz="0"/>
              <w:bottom w:val="none" w:color="FFFFFF" w:sz="0"/>
              <w:right w:val="none" w:color="FFFFFF" w:sz="0"/>
            </w:tcBorders>
            <w:shd w:fill="0D1A29" w:color="auto" w:val="clear"/>
            <w:tcMar>
              <w:top w:type="dxa" w:w="100"/>
              <w:left w:type="dxa" w:w="140"/>
              <w:bottom w:type="dxa" w:w="100"/>
              <w:right w:type="dxa" w:w="140"/>
            </w:tcMar>
            <w:vAlign w:val="center"/>
          </w:tcPr>
          <w:p>
            <w:pPr>
              <w:spacing w:after="0"/>
              <w:jc w:val="right"/>
            </w:pPr>
            <w:r>
              <w:rPr>
                <w:rFonts w:ascii="Calibri" w:cs="Calibri" w:eastAsia="Calibri" w:hAnsi="Calibri"/>
                <w:b/>
                <w:bCs/>
                <w:color w:val="BFEEE7"/>
                <w:sz w:val="16"/>
                <w:szCs w:val="16"/>
              </w:rPr>
              <w:t xml:space="preserve">SITE INTELLIGENCE &amp; CLIMATE DESIGN</w:t>
            </w:r>
          </w:p>
        </w:tc>
      </w:tr>
    </w:tbl>
    <w:p>
      <w:pPr>
        <w:spacing w:before="100" w:after="60"/>
        <w:jc w:val="center"/>
      </w:pPr>
      <w:r>
        <w:drawing>
          <wp:inline distT="0" distB="0" distL="0" distR="0">
            <wp:extent cx="5715000" cy="1428750"/>
            <wp:effectExtent t="0" r="0" b="0" l="0"/>
            <wp:docPr id="1" name="SiteMorph geospatial intelligence" descr="SiteMorph geospatial intelligence" title="SiteMorph geospat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28750"/>
                    </a:xfrm>
                    <a:prstGeom prst="rect">
                      <a:avLst/>
                    </a:prstGeom>
                  </pic:spPr>
                </pic:pic>
              </a:graphicData>
            </a:graphic>
          </wp:inline>
        </w:drawing>
      </w:r>
    </w:p>
    <w:p>
      <w:pPr>
        <w:pStyle w:val="Caption"/>
        <w:keepNext w:val="false"/>
        <w:jc w:val="center"/>
      </w:pPr>
      <w:r>
        <w:rPr>
          <w:rFonts w:ascii="Calibri" w:cs="Calibri" w:eastAsia="Calibri" w:hAnsi="Calibri"/>
          <w:color w:val="5F6B76"/>
          <w:sz w:val="17"/>
          <w:szCs w:val="17"/>
        </w:rPr>
        <w:t xml:space="preserve">SiteMorph geospatial intelligence</w:t>
      </w:r>
    </w:p>
    <w:p>
      <w:pPr>
        <w:pStyle w:val="Kicker"/>
      </w:pPr>
      <w:r>
        <w:rPr>
          <w:rFonts w:ascii="Calibri" w:cs="Calibri" w:eastAsia="Calibri" w:hAnsi="Calibri"/>
          <w:b/>
          <w:bCs/>
          <w:color w:val="30C5B2"/>
          <w:sz w:val="18"/>
          <w:szCs w:val="18"/>
        </w:rPr>
        <w:t xml:space="preserve">SITE INTELLIGENCE REPORT</w:t>
      </w:r>
    </w:p>
    <w:p>
      <w:pPr>
        <w:pStyle w:val="ReportTitle"/>
      </w:pPr>
      <w:r>
        <w:rPr>
          <w:rFonts w:ascii="Calibri" w:cs="Calibri" w:eastAsia="Calibri" w:hAnsi="Calibri"/>
          <w:b/>
          <w:bCs/>
          <w:color w:val="0D1A29"/>
          <w:sz w:val="44"/>
          <w:szCs w:val="44"/>
        </w:rPr>
        <w:t xml:space="preserve">SiteMorph - Site Intelligence &amp; Climate Design Report</w:t>
      </w:r>
    </w:p>
    <w:p>
      <w:pPr>
        <w:pStyle w:val="ReportBody"/>
        <w:spacing w:after="220" w:line="264" w:lineRule="auto"/>
      </w:pPr>
      <w:r>
        <w:rPr>
          <w:rFonts w:ascii="Calibri" w:cs="Calibri" w:eastAsia="Calibri" w:hAnsi="Calibri"/>
          <w:i/>
          <w:iCs/>
          <w:color w:val="5F6B76"/>
          <w:sz w:val="22"/>
          <w:szCs w:val="22"/>
        </w:rPr>
        <w:t xml:space="preserve">FortyGuard historical evidence + Autodesk Forma design-performance validation</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9360"/>
      </w:tblGrid>
      <w:tr>
        <w:trPr>
          <w:cantSplit/>
        </w:trPr>
        <w:tc>
          <w:tcPr>
            <w:tcW w:type="dxa" w:w="9360"/>
            <w:tcBorders>
              <w:top w:val="single" w:color="CCD4DB" w:sz="4"/>
              <w:left w:val="single" w:color="30C5B2" w:sz="20"/>
              <w:bottom w:val="single" w:color="CCD4DB" w:sz="4"/>
              <w:right w:val="single" w:color="CCD4DB" w:sz="4"/>
            </w:tcBorders>
            <w:shd w:fill="EAF7F5" w:color="auto" w:val="clear"/>
            <w:tcMar>
              <w:top w:type="dxa" w:w="100"/>
              <w:left w:type="dxa" w:w="140"/>
              <w:bottom w:type="dxa" w:w="100"/>
              <w:right w:type="dxa" w:w="140"/>
            </w:tcMar>
            <w:vAlign w:val="center"/>
          </w:tcPr>
          <w:p>
            <w:pPr>
              <w:pStyle w:val="ReportBody"/>
              <w:spacing w:after="70" w:line="264" w:lineRule="auto"/>
            </w:pPr>
            <w:r>
              <w:rPr>
                <w:rFonts w:ascii="Calibri" w:cs="Calibri" w:eastAsia="Calibri" w:hAnsi="Calibri"/>
                <w:b/>
                <w:bCs/>
                <w:color w:val="0D1A29"/>
                <w:sz w:val="28"/>
                <w:szCs w:val="28"/>
              </w:rPr>
              <w:t xml:space="preserve">South Phoenix Logistics Campus</w:t>
            </w:r>
          </w:p>
          <w:p>
            <w:pPr>
              <w:pStyle w:val="ReportBody"/>
              <w:spacing w:after="70" w:line="264" w:lineRule="auto"/>
            </w:pPr>
            <w:r>
              <w:rPr>
                <w:rFonts w:ascii="Calibri" w:cs="Calibri" w:eastAsia="Calibri" w:hAnsi="Calibri"/>
                <w:color w:val="17374B"/>
                <w:sz w:val="22"/>
                <w:szCs w:val="22"/>
              </w:rPr>
              <w:t xml:space="preserve">South Phoenix, AZ  |  359,376 ft2  |  8.25 acres</w:t>
            </w:r>
          </w:p>
          <w:p>
            <w:pPr>
              <w:pStyle w:val="ReportBody"/>
              <w:spacing w:after="0" w:line="264" w:lineRule="auto"/>
            </w:pPr>
            <w:r>
              <w:rPr>
                <w:rFonts w:ascii="Calibri" w:cs="Calibri" w:eastAsia="Calibri" w:hAnsi="Calibri"/>
                <w:b/>
                <w:bCs/>
                <w:color w:val="17212B"/>
                <w:sz w:val="22"/>
                <w:szCs w:val="22"/>
              </w:rPr>
              <w:t xml:space="preserve">Requested concept: </w:t>
            </w:r>
            <w:r>
              <w:rPr>
                <w:rFonts w:ascii="Calibri" w:cs="Calibri" w:eastAsia="Calibri" w:hAnsi="Calibri"/>
                <w:color w:val="17212B"/>
                <w:sz w:val="22"/>
                <w:szCs w:val="22"/>
              </w:rPr>
              <w:t xml:space="preserve">Climate-controlled logistics / storage  |  85,000 ft2</w:t>
            </w:r>
          </w:p>
        </w:tc>
      </w:tr>
    </w:tbl>
    <w:p>
      <w:pPr>
        <w:pStyle w:val="ReportBody"/>
        <w:spacing w:after="180" w:line="264" w:lineRule="auto"/>
      </w:pPr>
      <w:r>
        <w:rPr>
          <w:rFonts w:ascii="Calibri" w:cs="Calibri" w:eastAsia="Calibri" w:hAnsi="Calibri"/>
          <w:color w:val="5F6B76"/>
          <w:sz w:val="22"/>
          <w:szCs w:val="22"/>
        </w:rPr>
        <w:t xml:space="preserve">Generated Aug 25, 2026, 2:32 PM  |  Concept-stage evidence-to-design workflow</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3600"/>
        <w:gridCol w:w="5760"/>
      </w:tblGrid>
      <w:tr>
        <w:trPr>
          <w:cantSplit/>
          <w:tblHeader/>
        </w:trPr>
        <w:tc>
          <w:tcPr>
            <w:tcW w:type="dxa" w:w="36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Key signal</w:t>
            </w:r>
          </w:p>
        </w:tc>
        <w:tc>
          <w:tcPr>
            <w:tcW w:type="dxa" w:w="576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Current finding</w:t>
            </w:r>
          </w:p>
        </w:tc>
      </w:tr>
      <w:tr>
        <w:trPr>
          <w:cantSplit/>
        </w:trPr>
        <w:tc>
          <w:tcPr>
            <w:tcW w:type="dxa" w:w="36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Hot-season exposure</w:t>
            </w:r>
          </w:p>
        </w:tc>
        <w:tc>
          <w:tcPr>
            <w:tcW w:type="dxa" w:w="57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HIGH</w:t>
            </w:r>
          </w:p>
        </w:tc>
      </w:tr>
      <w:tr>
        <w:trPr>
          <w:cantSplit/>
        </w:trPr>
        <w:tc>
          <w:tcPr>
            <w:tcW w:type="dxa" w:w="36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Summer persistence</w:t>
            </w:r>
          </w:p>
        </w:tc>
        <w:tc>
          <w:tcPr>
            <w:tcW w:type="dxa" w:w="57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MODERATE</w:t>
            </w:r>
          </w:p>
        </w:tc>
      </w:tr>
      <w:tr>
        <w:trPr>
          <w:cantSplit/>
        </w:trPr>
        <w:tc>
          <w:tcPr>
            <w:tcW w:type="dxa" w:w="36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Thermal zoning confidence</w:t>
            </w:r>
          </w:p>
        </w:tc>
        <w:tc>
          <w:tcPr>
            <w:tcW w:type="dxa" w:w="57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LOW</w:t>
            </w:r>
          </w:p>
        </w:tc>
      </w:tr>
      <w:tr>
        <w:trPr>
          <w:cantSplit/>
        </w:trPr>
        <w:tc>
          <w:tcPr>
            <w:tcW w:type="dxa" w:w="36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Design status</w:t>
            </w:r>
          </w:p>
        </w:tc>
        <w:tc>
          <w:tcPr>
            <w:tcW w:type="dxa" w:w="57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Building not generated</w:t>
            </w:r>
          </w:p>
        </w:tc>
      </w:tr>
    </w:tbl>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9360"/>
      </w:tblGrid>
      <w:tr>
        <w:trPr>
          <w:cantSplit/>
        </w:trPr>
        <w:tc>
          <w:tcPr>
            <w:tcW w:type="dxa" w:w="9360"/>
            <w:tcBorders>
              <w:top w:val="single" w:color="CCD4DB" w:sz="4"/>
              <w:left w:val="single" w:color="D9951E" w:sz="20"/>
              <w:bottom w:val="single" w:color="CCD4DB" w:sz="4"/>
              <w:right w:val="single" w:color="CCD4DB" w:sz="4"/>
            </w:tcBorders>
            <w:shd w:fill="FFF7E8" w:color="auto" w:val="clear"/>
            <w:tcMar>
              <w:top w:type="dxa" w:w="100"/>
              <w:left w:type="dxa" w:w="140"/>
              <w:bottom w:type="dxa" w:w="100"/>
              <w:right w:type="dxa" w:w="140"/>
            </w:tcMar>
            <w:vAlign w:val="center"/>
          </w:tcPr>
          <w:p>
            <w:pPr>
              <w:pStyle w:val="ReportBody"/>
              <w:spacing w:after="70" w:line="264" w:lineRule="auto"/>
            </w:pPr>
            <w:r>
              <w:rPr>
                <w:rFonts w:ascii="Calibri" w:cs="Calibri" w:eastAsia="Calibri" w:hAnsi="Calibri"/>
                <w:b/>
                <w:bCs/>
                <w:color w:val="0D1A29"/>
                <w:sz w:val="24"/>
                <w:szCs w:val="24"/>
              </w:rPr>
              <w:t xml:space="preserve">Next required action</w:t>
            </w:r>
          </w:p>
          <w:p>
            <w:pPr>
              <w:pStyle w:val="ReportBody"/>
              <w:spacing w:after="0" w:line="264" w:lineRule="auto"/>
            </w:pPr>
            <w:r>
              <w:rPr>
                <w:rFonts w:ascii="Calibri" w:cs="Calibri" w:eastAsia="Calibri" w:hAnsi="Calibri"/>
                <w:color w:val="17212B"/>
                <w:sz w:val="22"/>
                <w:szCs w:val="22"/>
              </w:rPr>
              <w:t xml:space="preserve">Generate one building in Forma, run native Sun and Rapid Wind, and export again to complete the spatial design evidence.</w:t>
            </w:r>
          </w:p>
        </w:tc>
      </w:tr>
    </w:tbl>
    <w:p>
      <w:pPr>
        <w:pStyle w:val="Heading1"/>
        <w:keepNext/>
        <w:pageBreakBefore/>
      </w:pPr>
      <w:r>
        <w:rPr>
          <w:rFonts w:ascii="Calibri" w:cs="Calibri" w:eastAsia="Calibri" w:hAnsi="Calibri"/>
          <w:b/>
          <w:bCs/>
          <w:color w:val="2E74B5"/>
          <w:sz w:val="32"/>
          <w:szCs w:val="32"/>
        </w:rPr>
        <w:t xml:space="preserve">1. Site overview</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2700"/>
        <w:gridCol w:w="6660"/>
      </w:tblGrid>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Project</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South Phoenix Logistics Campus</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Location</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South Phoenix, AZ</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Proposal</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Warehouse Study - Baseline</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Selected Site Limit</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Site Limit 01</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Site area</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359,376 ft2 / 8.25 acres</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Analysis basis</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Real Forma Site Limit + FortyGuard historical/site evidence</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Planning status</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Zoning, entitlement, utilities, access engineering and market feasibility are not connected</w:t>
            </w:r>
          </w:p>
        </w:tc>
      </w:tr>
    </w:tbl>
    <w:p>
      <w:pPr>
        <w:pStyle w:val="Heading1"/>
        <w:keepNext/>
      </w:pPr>
      <w:r>
        <w:rPr>
          <w:rFonts w:ascii="Calibri" w:cs="Calibri" w:eastAsia="Calibri" w:hAnsi="Calibri"/>
          <w:b/>
          <w:bCs/>
          <w:color w:val="2E74B5"/>
          <w:sz w:val="32"/>
          <w:szCs w:val="32"/>
        </w:rPr>
        <w:t xml:space="preserve">2. Climate history</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2700"/>
        <w:gridCol w:w="2100"/>
        <w:gridCol w:w="4560"/>
      </w:tblGrid>
      <w:tr>
        <w:trPr>
          <w:cantSplit/>
          <w:tblHeader/>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Metric</w:t>
            </w:r>
          </w:p>
        </w:tc>
        <w:tc>
          <w:tcPr>
            <w:tcW w:type="dxa" w:w="21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Observed value</w:t>
            </w:r>
          </w:p>
        </w:tc>
        <w:tc>
          <w:tcPr>
            <w:tcW w:type="dxa" w:w="456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Meaning</w:t>
            </w:r>
          </w:p>
        </w:tc>
      </w:tr>
      <w:tr>
        <w:trPr>
          <w:cantSplit/>
        </w:trPr>
        <w:tc>
          <w:tcPr>
            <w:tcW w:type="dxa" w:w="27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Hot-season mean</w:t>
            </w:r>
          </w:p>
        </w:tc>
        <w:tc>
          <w:tcPr>
            <w:tcW w:type="dxa" w:w="21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39.2 C</w:t>
            </w:r>
          </w:p>
        </w:tc>
        <w:tc>
          <w:tcPr>
            <w:tcW w:type="dxa" w:w="45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Historical thermal burden</w:t>
            </w:r>
          </w:p>
        </w:tc>
      </w:tr>
      <w:tr>
        <w:trPr>
          <w:cantSplit/>
        </w:trPr>
        <w:tc>
          <w:tcPr>
            <w:tcW w:type="dxa" w:w="27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Hot-season maximum</w:t>
            </w:r>
          </w:p>
        </w:tc>
        <w:tc>
          <w:tcPr>
            <w:tcW w:type="dxa" w:w="21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46.8 C</w:t>
            </w:r>
          </w:p>
        </w:tc>
        <w:tc>
          <w:tcPr>
            <w:tcW w:type="dxa" w:w="45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Peak sampled condition</w:t>
            </w:r>
          </w:p>
        </w:tc>
      </w:tr>
      <w:tr>
        <w:trPr>
          <w:cantSplit/>
        </w:trPr>
        <w:tc>
          <w:tcPr>
            <w:tcW w:type="dxa" w:w="27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Mean exceedance above 35 C</w:t>
            </w:r>
          </w:p>
        </w:tc>
        <w:tc>
          <w:tcPr>
            <w:tcW w:type="dxa" w:w="21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612 h</w:t>
            </w:r>
          </w:p>
        </w:tc>
        <w:tc>
          <w:tcPr>
            <w:tcW w:type="dxa" w:w="45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Mean exceedance duration</w:t>
            </w:r>
          </w:p>
        </w:tc>
      </w:tr>
      <w:tr>
        <w:trPr>
          <w:cantSplit/>
        </w:trPr>
        <w:tc>
          <w:tcPr>
            <w:tcW w:type="dxa" w:w="27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Maximum continuous persistence</w:t>
            </w:r>
          </w:p>
        </w:tc>
        <w:tc>
          <w:tcPr>
            <w:tcW w:type="dxa" w:w="21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7 h</w:t>
            </w:r>
          </w:p>
        </w:tc>
        <w:tc>
          <w:tcPr>
            <w:tcW w:type="dxa" w:w="45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Longest continuous episode</w:t>
            </w:r>
          </w:p>
        </w:tc>
      </w:tr>
      <w:tr>
        <w:trPr>
          <w:cantSplit/>
        </w:trPr>
        <w:tc>
          <w:tcPr>
            <w:tcW w:type="dxa" w:w="27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Peak thermal hour</w:t>
            </w:r>
          </w:p>
        </w:tc>
        <w:tc>
          <w:tcPr>
            <w:tcW w:type="dxa" w:w="21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9:00 PM MST</w:t>
            </w:r>
          </w:p>
        </w:tc>
        <w:tc>
          <w:tcPr>
            <w:tcW w:type="dxa" w:w="45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04:00 UTC</w:t>
            </w:r>
          </w:p>
        </w:tc>
      </w:tr>
    </w:tbl>
    <w:p>
      <w:pPr>
        <w:pStyle w:val="ReportBody"/>
        <w:spacing w:after="120" w:line="264" w:lineRule="auto"/>
      </w:pPr>
      <w:r>
        <w:rPr>
          <w:rFonts w:ascii="Calibri" w:cs="Calibri" w:eastAsia="Calibri" w:hAnsi="Calibri"/>
          <w:i/>
          <w:iCs/>
          <w:color w:val="5F6B76"/>
          <w:sz w:val="22"/>
          <w:szCs w:val="22"/>
        </w:rPr>
        <w:t xml:space="preserve">FortyGuard TCM heat model</w:t>
      </w:r>
    </w:p>
    <w:p>
      <w:pPr>
        <w:pStyle w:val="Heading1"/>
        <w:keepNext/>
        <w:pageBreakBefore/>
      </w:pPr>
      <w:r>
        <w:rPr>
          <w:rFonts w:ascii="Calibri" w:cs="Calibri" w:eastAsia="Calibri" w:hAnsi="Calibri"/>
          <w:b/>
          <w:bCs/>
          <w:color w:val="2E74B5"/>
          <w:sz w:val="32"/>
          <w:szCs w:val="32"/>
        </w:rPr>
        <w:t xml:space="preserve">3. Climate Design Brief</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9360"/>
      </w:tblGrid>
      <w:tr>
        <w:trPr>
          <w:cantSplit/>
        </w:trPr>
        <w:tc>
          <w:tcPr>
            <w:tcW w:type="dxa" w:w="9360"/>
            <w:tcBorders>
              <w:top w:val="single" w:color="CCD4DB" w:sz="4"/>
              <w:left w:val="single" w:color="30C5B2" w:sz="20"/>
              <w:bottom w:val="single" w:color="CCD4DB" w:sz="4"/>
              <w:right w:val="single" w:color="CCD4DB" w:sz="4"/>
            </w:tcBorders>
            <w:shd w:fill="EAF7F5" w:color="auto" w:val="clear"/>
            <w:tcMar>
              <w:top w:type="dxa" w:w="100"/>
              <w:left w:type="dxa" w:w="140"/>
              <w:bottom w:type="dxa" w:w="100"/>
              <w:right w:type="dxa" w:w="140"/>
            </w:tcMar>
            <w:vAlign w:val="center"/>
          </w:tcPr>
          <w:p>
            <w:pPr>
              <w:pStyle w:val="ReportBody"/>
              <w:spacing w:after="70" w:line="264" w:lineRule="auto"/>
            </w:pPr>
            <w:r>
              <w:rPr>
                <w:rFonts w:ascii="Calibri" w:cs="Calibri" w:eastAsia="Calibri" w:hAnsi="Calibri"/>
                <w:b/>
                <w:bCs/>
                <w:color w:val="0D1A29"/>
                <w:sz w:val="24"/>
                <w:szCs w:val="24"/>
              </w:rPr>
              <w:t xml:space="preserve">Thermal zoning confidence: LOW</w:t>
            </w:r>
          </w:p>
          <w:p>
            <w:pPr>
              <w:pStyle w:val="ReportBody"/>
              <w:spacing w:after="0" w:line="264" w:lineRule="auto"/>
            </w:pPr>
            <w:r>
              <w:rPr>
                <w:rFonts w:ascii="Calibri" w:cs="Calibri" w:eastAsia="Calibri" w:hAnsi="Calibri"/>
                <w:color w:val="17212B"/>
                <w:sz w:val="22"/>
                <w:szCs w:val="22"/>
              </w:rPr>
              <w:t xml:space="preserve">The parcel should use site-wide heat constraints while Forma validates massing, sun, wind, and microclimate performance.</w:t>
            </w:r>
          </w:p>
        </w:tc>
      </w:tr>
    </w:tbl>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2450"/>
        <w:gridCol w:w="1500"/>
        <w:gridCol w:w="5410"/>
      </w:tblGrid>
      <w:tr>
        <w:trPr>
          <w:cantSplit/>
          <w:tblHeader/>
        </w:trPr>
        <w:tc>
          <w:tcPr>
            <w:tcW w:type="dxa" w:w="245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Priority</w:t>
            </w:r>
          </w:p>
        </w:tc>
        <w:tc>
          <w:tcPr>
            <w:tcW w:type="dxa" w:w="15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Level</w:t>
            </w:r>
          </w:p>
        </w:tc>
        <w:tc>
          <w:tcPr>
            <w:tcW w:type="dxa" w:w="541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Evidence-based reason</w:t>
            </w:r>
          </w:p>
        </w:tc>
      </w:tr>
      <w:tr>
        <w:trPr>
          <w:cantSplit/>
        </w:trPr>
        <w:tc>
          <w:tcPr>
            <w:tcW w:type="dxa" w:w="24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Cooling resilience</w:t>
            </w:r>
          </w:p>
        </w:tc>
        <w:tc>
          <w:tcPr>
            <w:tcW w:type="dxa" w:w="15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Critical</w:t>
            </w:r>
          </w:p>
        </w:tc>
        <w:tc>
          <w:tcPr>
            <w:tcW w:type="dxa" w:w="54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Hot-season exposure is high.</w:t>
            </w:r>
          </w:p>
        </w:tc>
      </w:tr>
      <w:tr>
        <w:trPr>
          <w:cantSplit/>
        </w:trPr>
        <w:tc>
          <w:tcPr>
            <w:tcW w:type="dxa" w:w="24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Impervious-surface reduction</w:t>
            </w:r>
          </w:p>
        </w:tc>
        <w:tc>
          <w:tcPr>
            <w:tcW w:type="dxa" w:w="15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High</w:t>
            </w:r>
          </w:p>
        </w:tc>
        <w:tc>
          <w:tcPr>
            <w:tcW w:type="dxa" w:w="54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Impervious cover is 72%.</w:t>
            </w:r>
          </w:p>
        </w:tc>
      </w:tr>
      <w:tr>
        <w:trPr>
          <w:cantSplit/>
        </w:trPr>
        <w:tc>
          <w:tcPr>
            <w:tcW w:type="dxa" w:w="24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Canopy and shading intervention</w:t>
            </w:r>
          </w:p>
        </w:tc>
        <w:tc>
          <w:tcPr>
            <w:tcW w:type="dxa" w:w="15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High</w:t>
            </w:r>
          </w:p>
        </w:tc>
        <w:tc>
          <w:tcPr>
            <w:tcW w:type="dxa" w:w="54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Canopy and vegetation cover is 12%.</w:t>
            </w:r>
          </w:p>
        </w:tc>
      </w:tr>
      <w:tr>
        <w:trPr>
          <w:cantSplit/>
        </w:trPr>
        <w:tc>
          <w:tcPr>
            <w:tcW w:type="dxa" w:w="24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Outdoor worker heat mitigation</w:t>
            </w:r>
          </w:p>
        </w:tc>
        <w:tc>
          <w:tcPr>
            <w:tcW w:type="dxa" w:w="15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High</w:t>
            </w:r>
          </w:p>
        </w:tc>
        <w:tc>
          <w:tcPr>
            <w:tcW w:type="dxa" w:w="54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Loading and worker areas need shade and cooling.</w:t>
            </w:r>
          </w:p>
        </w:tc>
      </w:tr>
    </w:tbl>
    <w:p>
      <w:pPr>
        <w:pStyle w:val="Heading2"/>
        <w:keepNext/>
      </w:pPr>
      <w:r>
        <w:rPr>
          <w:rFonts w:ascii="Calibri" w:cs="Calibri" w:eastAsia="Calibri" w:hAnsi="Calibri"/>
          <w:b/>
          <w:bCs/>
          <w:color w:val="17374B"/>
          <w:sz w:val="26"/>
          <w:szCs w:val="26"/>
        </w:rPr>
        <w:t xml:space="preserve">Site-wide constraints</w:t>
      </w:r>
    </w:p>
    <w:p>
      <w:pPr>
        <w:pStyle w:val="ReportBody"/>
        <w:numPr>
          <w:ilvl w:val="0"/>
          <w:numId w:val="2"/>
        </w:numPr>
        <w:spacing w:after="80" w:line="280" w:lineRule="auto"/>
      </w:pPr>
      <w:r>
        <w:rPr>
          <w:rFonts w:ascii="Calibri" w:cs="Calibri" w:eastAsia="Calibri" w:hAnsi="Calibri"/>
          <w:color w:val="17212B"/>
          <w:sz w:val="22"/>
          <w:szCs w:val="22"/>
        </w:rPr>
        <w:t xml:space="preserve">Do not spatially zone the building from FortyGuard alone.</w:t>
      </w:r>
    </w:p>
    <w:p>
      <w:pPr>
        <w:pStyle w:val="ReportBody"/>
        <w:numPr>
          <w:ilvl w:val="0"/>
          <w:numId w:val="2"/>
        </w:numPr>
        <w:spacing w:after="80" w:line="280" w:lineRule="auto"/>
      </w:pPr>
      <w:r>
        <w:rPr>
          <w:rFonts w:ascii="Calibri" w:cs="Calibri" w:eastAsia="Calibri" w:hAnsi="Calibri"/>
          <w:color w:val="17212B"/>
          <w:sz w:val="22"/>
          <w:szCs w:val="22"/>
        </w:rPr>
        <w:t xml:space="preserve">Shade loading and worker areas.</w:t>
      </w:r>
    </w:p>
    <w:p>
      <w:pPr>
        <w:pStyle w:val="ReportBody"/>
        <w:numPr>
          <w:ilvl w:val="0"/>
          <w:numId w:val="2"/>
        </w:numPr>
        <w:spacing w:after="80" w:line="280" w:lineRule="auto"/>
      </w:pPr>
      <w:r>
        <w:rPr>
          <w:rFonts w:ascii="Calibri" w:cs="Calibri" w:eastAsia="Calibri" w:hAnsi="Calibri"/>
          <w:color w:val="17212B"/>
          <w:sz w:val="22"/>
          <w:szCs w:val="22"/>
        </w:rPr>
        <w:t xml:space="preserve">Reduce exposed pavement.</w:t>
      </w:r>
    </w:p>
    <w:p>
      <w:pPr>
        <w:pStyle w:val="Heading1"/>
        <w:keepNext/>
      </w:pPr>
      <w:r>
        <w:rPr>
          <w:rFonts w:ascii="Calibri" w:cs="Calibri" w:eastAsia="Calibri" w:hAnsi="Calibri"/>
          <w:b/>
          <w:bCs/>
          <w:color w:val="2E74B5"/>
          <w:sz w:val="32"/>
          <w:szCs w:val="32"/>
        </w:rPr>
        <w:t xml:space="preserve">4. Environmental and site intelligence</w:t>
      </w:r>
    </w:p>
    <w:p>
      <w:pPr>
        <w:pStyle w:val="Heading2"/>
        <w:keepNext/>
      </w:pPr>
      <w:r>
        <w:rPr>
          <w:rFonts w:ascii="Calibri" w:cs="Calibri" w:eastAsia="Calibri" w:hAnsi="Calibri"/>
          <w:b/>
          <w:bCs/>
          <w:color w:val="17374B"/>
          <w:sz w:val="26"/>
          <w:szCs w:val="26"/>
        </w:rPr>
        <w:t xml:space="preserve">Environmental parameters</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2700"/>
        <w:gridCol w:w="6660"/>
      </w:tblGrid>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Relative humidity</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22%</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Wet-bulb temperature</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23.8 C</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Apparent temperature</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42.3 C</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Heat index</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41.1 C</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US AQI</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72</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Cloud cover</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14%</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Precipitation</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2.6 mm</w:t>
            </w:r>
          </w:p>
        </w:tc>
      </w:tr>
    </w:tbl>
    <w:p>
      <w:pPr>
        <w:pStyle w:val="Heading2"/>
        <w:keepNext/>
      </w:pPr>
      <w:r>
        <w:rPr>
          <w:rFonts w:ascii="Calibri" w:cs="Calibri" w:eastAsia="Calibri" w:hAnsi="Calibri"/>
          <w:b/>
          <w:bCs/>
          <w:color w:val="17374B"/>
          <w:sz w:val="26"/>
          <w:szCs w:val="26"/>
        </w:rPr>
        <w:t xml:space="preserve">Satellite - What is around the site?</w:t>
      </w:r>
    </w:p>
    <w:tbl>
      <w:tblPr>
        <w:tblW w:type="dxa" w:w="9360"/>
        <w:tblInd w:type="dxa" w:w="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70"/>
              <w:jc w:val="center"/>
            </w:pPr>
            <w:r>
              <w:drawing>
                <wp:inline distT="0" distB="0" distL="0" distR="0">
                  <wp:extent cx="1809750" cy="1809750"/>
                  <wp:effectExtent t="0" r="0" b="0" l="0"/>
                  <wp:docPr id="1" name="Satellite context" descr="Satellite context" title="Satellit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809750"/>
                          </a:xfrm>
                          <a:prstGeom prst="rect">
                            <a:avLst/>
                          </a:prstGeom>
                        </pic:spPr>
                      </pic:pic>
                    </a:graphicData>
                  </a:graphic>
                </wp:inline>
              </w:drawing>
            </w:r>
          </w:p>
          <w:p>
            <w:pPr>
              <w:pStyle w:val="Caption"/>
              <w:jc w:val="center"/>
            </w:pPr>
            <w:r>
              <w:rPr>
                <w:rFonts w:ascii="Calibri" w:cs="Calibri" w:eastAsia="Calibri" w:hAnsi="Calibri"/>
                <w:color w:val="5F6B76"/>
                <w:sz w:val="17"/>
                <w:szCs w:val="17"/>
              </w:rPr>
              <w:t xml:space="preserve">Satellite context</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70"/>
              <w:jc w:val="center"/>
            </w:pPr>
            <w:r>
              <w:drawing>
                <wp:inline distT="0" distB="0" distL="0" distR="0">
                  <wp:extent cx="1809750" cy="1809750"/>
                  <wp:effectExtent t="0" r="0" b="0" l="0"/>
                  <wp:docPr id="1" name="FortyGuard surface segmentation" descr="FortyGuard surface segmentation" title="FortyGuard surface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809750"/>
                          </a:xfrm>
                          <a:prstGeom prst="rect">
                            <a:avLst/>
                          </a:prstGeom>
                        </pic:spPr>
                      </pic:pic>
                    </a:graphicData>
                  </a:graphic>
                </wp:inline>
              </w:drawing>
            </w:r>
          </w:p>
          <w:p>
            <w:pPr>
              <w:pStyle w:val="Caption"/>
              <w:jc w:val="center"/>
            </w:pPr>
            <w:r>
              <w:rPr>
                <w:rFonts w:ascii="Calibri" w:cs="Calibri" w:eastAsia="Calibri" w:hAnsi="Calibri"/>
                <w:color w:val="5F6B76"/>
                <w:sz w:val="17"/>
                <w:szCs w:val="17"/>
              </w:rPr>
              <w:t xml:space="preserve">FortyGuard surface segmentation</w:t>
            </w:r>
          </w:p>
        </w:tc>
      </w:tr>
    </w:tbl>
    <w:p>
      <w:pPr>
        <w:pStyle w:val="ReportBody"/>
        <w:spacing w:after="120" w:line="264" w:lineRule="auto"/>
      </w:pPr>
      <w:r>
        <w:rPr>
          <w:rFonts w:ascii="Calibri" w:cs="Calibri" w:eastAsia="Calibri" w:hAnsi="Calibri"/>
          <w:color w:val="17212B"/>
          <w:sz w:val="22"/>
          <w:szCs w:val="22"/>
        </w:rPr>
        <w:t xml:space="preserve">Finding: 72% impervious surface and 12% canopy/vegetation in the sampled context. These values drive paving reduction and shade priorities.</w:t>
      </w:r>
    </w:p>
    <w:p>
      <w:pPr>
        <w:pStyle w:val="Heading2"/>
        <w:keepNext/>
      </w:pPr>
      <w:r>
        <w:rPr>
          <w:rFonts w:ascii="Calibri" w:cs="Calibri" w:eastAsia="Calibri" w:hAnsi="Calibri"/>
          <w:b/>
          <w:bCs/>
          <w:color w:val="17374B"/>
          <w:sz w:val="26"/>
          <w:szCs w:val="26"/>
        </w:rPr>
        <w:t xml:space="preserve">Street view - What does the access edge look like?</w:t>
      </w:r>
    </w:p>
    <w:tbl>
      <w:tblPr>
        <w:tblW w:type="dxa" w:w="9360"/>
        <w:tblInd w:type="dxa" w:w="0"/>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80"/>
          <w:left w:type="dxa" w:w="120"/>
          <w:bottom w:type="dxa" w:w="80"/>
          <w:right w:type="dxa" w:w="120"/>
        </w:tblCellMar>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70"/>
              <w:jc w:val="center"/>
            </w:pPr>
            <w:r>
              <w:drawing>
                <wp:inline distT="0" distB="0" distL="0" distR="0">
                  <wp:extent cx="1933575" cy="1809750"/>
                  <wp:effectExtent t="0" r="0" b="0" l="0"/>
                  <wp:docPr id="1" name="Archived street view - North access edge - captured 23 Aug 2026" descr="Archived street view - North access edge - captured 23 Aug 2026" title="Archived street view - North access edge - captured 23 Aug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33575" cy="1809750"/>
                          </a:xfrm>
                          <a:prstGeom prst="rect">
                            <a:avLst/>
                          </a:prstGeom>
                        </pic:spPr>
                      </pic:pic>
                    </a:graphicData>
                  </a:graphic>
                </wp:inline>
              </w:drawing>
            </w:r>
          </w:p>
          <w:p>
            <w:pPr>
              <w:pStyle w:val="Caption"/>
              <w:jc w:val="center"/>
            </w:pPr>
            <w:r>
              <w:rPr>
                <w:rFonts w:ascii="Calibri" w:cs="Calibri" w:eastAsia="Calibri" w:hAnsi="Calibri"/>
                <w:color w:val="5F6B76"/>
                <w:sz w:val="17"/>
                <w:szCs w:val="17"/>
              </w:rPr>
              <w:t xml:space="preserve">Archived street view - North access edge - captured 23 Aug 2026</w:t>
            </w:r>
          </w:p>
        </w:tc>
        <w:tc>
          <w:tcPr>
            <w:tcW w:type="dxa" w:w="4680"/>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70"/>
              <w:jc w:val="center"/>
            </w:pPr>
            <w:r>
              <w:drawing>
                <wp:inline distT="0" distB="0" distL="0" distR="0">
                  <wp:extent cx="1933575" cy="1809750"/>
                  <wp:effectExtent t="0" r="0" b="0" l="0"/>
                  <wp:docPr id="1" name="Archived FortyGuard street segmentation - supporting context" descr="Archived FortyGuard street segmentation - supporting context" title="Archived FortyGuard street segmentation - supporting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33575" cy="1809750"/>
                          </a:xfrm>
                          <a:prstGeom prst="rect">
                            <a:avLst/>
                          </a:prstGeom>
                        </pic:spPr>
                      </pic:pic>
                    </a:graphicData>
                  </a:graphic>
                </wp:inline>
              </w:drawing>
            </w:r>
          </w:p>
          <w:p>
            <w:pPr>
              <w:pStyle w:val="Caption"/>
              <w:jc w:val="center"/>
            </w:pPr>
            <w:r>
              <w:rPr>
                <w:rFonts w:ascii="Calibri" w:cs="Calibri" w:eastAsia="Calibri" w:hAnsi="Calibri"/>
                <w:color w:val="5F6B76"/>
                <w:sz w:val="17"/>
                <w:szCs w:val="17"/>
              </w:rPr>
              <w:t xml:space="preserve">Archived FortyGuard street segmentation - supporting context</w:t>
            </w:r>
          </w:p>
        </w:tc>
      </w:tr>
    </w:tbl>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9360"/>
      </w:tblGrid>
      <w:tr>
        <w:trPr>
          <w:cantSplit/>
        </w:trPr>
        <w:tc>
          <w:tcPr>
            <w:tcW w:type="dxa" w:w="9360"/>
            <w:tcBorders>
              <w:top w:val="single" w:color="CCD4DB" w:sz="4"/>
              <w:left w:val="single" w:color="2E74B5" w:sz="20"/>
              <w:bottom w:val="single" w:color="CCD4DB" w:sz="4"/>
              <w:right w:val="single" w:color="CCD4DB" w:sz="4"/>
            </w:tcBorders>
            <w:shd w:fill="EEF5FA"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2"/>
                <w:szCs w:val="22"/>
              </w:rPr>
              <w:t xml:space="preserve">Archived evidence: earlier north access-edge source and segmentation imagery are supporting context. No new Street View activity was submitted.</w:t>
            </w:r>
          </w:p>
        </w:tc>
      </w:tr>
    </w:tbl>
    <w:p>
      <w:r>
        <w:br w:type="page"/>
      </w:r>
    </w:p>
    <w:p>
      <w:pPr>
        <w:pStyle w:val="Heading1"/>
        <w:keepNext/>
      </w:pPr>
      <w:r>
        <w:rPr>
          <w:rFonts w:ascii="Calibri" w:cs="Calibri" w:eastAsia="Calibri" w:hAnsi="Calibri"/>
          <w:b/>
          <w:bCs/>
          <w:color w:val="2E74B5"/>
          <w:sz w:val="32"/>
          <w:szCs w:val="32"/>
        </w:rPr>
        <w:t xml:space="preserve">5. What could fit here?</w:t>
      </w:r>
    </w:p>
    <w:p>
      <w:pPr>
        <w:pStyle w:val="ReportBody"/>
        <w:spacing w:after="120" w:line="264" w:lineRule="auto"/>
      </w:pPr>
      <w:r>
        <w:rPr>
          <w:rFonts w:ascii="Calibri" w:cs="Calibri" w:eastAsia="Calibri" w:hAnsi="Calibri"/>
          <w:i/>
          <w:iCs/>
          <w:color w:val="5F6B76"/>
          <w:sz w:val="22"/>
          <w:szCs w:val="22"/>
        </w:rPr>
        <w:t xml:space="preserve">Preliminary climate-and-area compatibility only. Planning and commercial due diligence remain required.</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2200"/>
        <w:gridCol w:w="2350"/>
        <w:gridCol w:w="4810"/>
      </w:tblGrid>
      <w:tr>
        <w:trPr>
          <w:cantSplit/>
          <w:tblHeader/>
        </w:trPr>
        <w:tc>
          <w:tcPr>
            <w:tcW w:type="dxa" w:w="22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Typology</w:t>
            </w:r>
          </w:p>
        </w:tc>
        <w:tc>
          <w:tcPr>
            <w:tcW w:type="dxa" w:w="235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Preliminary fit</w:t>
            </w:r>
          </w:p>
        </w:tc>
        <w:tc>
          <w:tcPr>
            <w:tcW w:type="dxa" w:w="481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Reason</w:t>
            </w:r>
          </w:p>
        </w:tc>
      </w:tr>
      <w:tr>
        <w:trPr>
          <w:cantSplit/>
        </w:trPr>
        <w:tc>
          <w:tcPr>
            <w:tcW w:type="dxa" w:w="22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Warehouse / logistics</w:t>
            </w:r>
          </w:p>
        </w:tc>
        <w:tc>
          <w:tcPr>
            <w:tcW w:type="dxa" w:w="23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Area-compatible; planning unverified</w:t>
            </w:r>
          </w:p>
        </w:tc>
        <w:tc>
          <w:tcPr>
            <w:tcW w:type="dxa" w:w="48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Large-footprint development remains subject to setbacks, access, parking, utilities, zoning and entitlement verification. Site-wide heat requires roof, envelope, yard and worker controls.</w:t>
            </w:r>
          </w:p>
        </w:tc>
      </w:tr>
      <w:tr>
        <w:trPr>
          <w:cantSplit/>
        </w:trPr>
        <w:tc>
          <w:tcPr>
            <w:tcW w:type="dxa" w:w="22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Cold-chain distribution</w:t>
            </w:r>
          </w:p>
        </w:tc>
        <w:tc>
          <w:tcPr>
            <w:tcW w:type="dxa" w:w="23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Area-compatible with climate penalty</w:t>
            </w:r>
          </w:p>
        </w:tc>
        <w:tc>
          <w:tcPr>
            <w:tcW w:type="dxa" w:w="48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Historical cooling burden makes resilience, envelope, refrigeration energy and backup strategy critical.</w:t>
            </w:r>
          </w:p>
        </w:tc>
      </w:tr>
      <w:tr>
        <w:trPr>
          <w:cantSplit/>
        </w:trPr>
        <w:tc>
          <w:tcPr>
            <w:tcW w:type="dxa" w:w="22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Light industrial + office</w:t>
            </w:r>
          </w:p>
        </w:tc>
        <w:tc>
          <w:tcPr>
            <w:tcW w:type="dxa" w:w="23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Potentially compatible; planning unverified</w:t>
            </w:r>
          </w:p>
        </w:tc>
        <w:tc>
          <w:tcPr>
            <w:tcW w:type="dxa" w:w="48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Keep occupied program compact and validate sun, wind, daylight, noise, energy and microclimate in Forma.</w:t>
            </w:r>
          </w:p>
        </w:tc>
      </w:tr>
      <w:tr>
        <w:trPr>
          <w:cantSplit/>
        </w:trPr>
        <w:tc>
          <w:tcPr>
            <w:tcW w:type="dxa" w:w="22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Residential / heat-sensitive outdoor use</w:t>
            </w:r>
          </w:p>
        </w:tc>
        <w:tc>
          <w:tcPr>
            <w:tcW w:type="dxa" w:w="235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Undetermined</w:t>
            </w:r>
          </w:p>
        </w:tc>
        <w:tc>
          <w:tcPr>
            <w:tcW w:type="dxa" w:w="481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High hot-season exposure and missing zoning, market, amenity, access and entitlement evidence prevent a responsible recommendation.</w:t>
            </w:r>
          </w:p>
        </w:tc>
      </w:tr>
    </w:tbl>
    <w:p>
      <w:pPr>
        <w:pStyle w:val="Heading1"/>
        <w:keepNext/>
      </w:pPr>
      <w:r>
        <w:rPr>
          <w:rFonts w:ascii="Calibri" w:cs="Calibri" w:eastAsia="Calibri" w:hAnsi="Calibri"/>
          <w:b/>
          <w:bCs/>
          <w:color w:val="2E74B5"/>
          <w:sz w:val="32"/>
          <w:szCs w:val="32"/>
        </w:rPr>
        <w:t xml:space="preserve">6. Generated Forma proposal</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9360"/>
      </w:tblGrid>
      <w:tr>
        <w:trPr>
          <w:cantSplit/>
        </w:trPr>
        <w:tc>
          <w:tcPr>
            <w:tcW w:type="dxa" w:w="9360"/>
            <w:tcBorders>
              <w:top w:val="single" w:color="CCD4DB" w:sz="4"/>
              <w:left w:val="single" w:color="D9951E" w:sz="20"/>
              <w:bottom w:val="single" w:color="CCD4DB" w:sz="4"/>
              <w:right w:val="single" w:color="CCD4DB" w:sz="4"/>
            </w:tcBorders>
            <w:shd w:fill="FFF7E8"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2"/>
                <w:szCs w:val="22"/>
              </w:rPr>
              <w:t xml:space="preserve">No generated Forma building was present when this report was exported. Generate and evaluate a building, then export the report again.</w:t>
            </w:r>
          </w:p>
        </w:tc>
      </w:tr>
    </w:tbl>
    <w:p>
      <w:pPr>
        <w:pStyle w:val="Heading1"/>
        <w:keepNext/>
      </w:pPr>
      <w:r>
        <w:rPr>
          <w:rFonts w:ascii="Calibri" w:cs="Calibri" w:eastAsia="Calibri" w:hAnsi="Calibri"/>
          <w:b/>
          <w:bCs/>
          <w:color w:val="2E74B5"/>
          <w:sz w:val="32"/>
          <w:szCs w:val="32"/>
        </w:rPr>
        <w:t xml:space="preserve">7. Forma validation</w:t>
      </w:r>
    </w:p>
    <w:p>
      <w:pPr>
        <w:pStyle w:val="ReportBody"/>
        <w:spacing w:after="120" w:line="264" w:lineRule="auto"/>
      </w:pPr>
      <w:r>
        <w:rPr>
          <w:rFonts w:ascii="Calibri" w:cs="Calibri" w:eastAsia="Calibri" w:hAnsi="Calibri"/>
          <w:color w:val="17212B"/>
          <w:sz w:val="22"/>
          <w:szCs w:val="22"/>
        </w:rPr>
        <w:t xml:space="preserve">Forma validation will appear after a building is generated.</w:t>
      </w:r>
    </w:p>
    <w:p>
      <w:pPr>
        <w:pStyle w:val="Heading1"/>
        <w:keepNext/>
      </w:pPr>
      <w:r>
        <w:rPr>
          <w:rFonts w:ascii="Calibri" w:cs="Calibri" w:eastAsia="Calibri" w:hAnsi="Calibri"/>
          <w:b/>
          <w:bCs/>
          <w:color w:val="2E74B5"/>
          <w:sz w:val="32"/>
          <w:szCs w:val="32"/>
        </w:rPr>
        <w:t xml:space="preserve">8. SiteMorph revision</w:t>
      </w:r>
    </w:p>
    <w:p>
      <w:pPr>
        <w:pStyle w:val="ReportBody"/>
        <w:spacing w:after="120" w:line="264" w:lineRule="auto"/>
      </w:pPr>
      <w:r>
        <w:rPr>
          <w:rFonts w:ascii="Calibri" w:cs="Calibri" w:eastAsia="Calibri" w:hAnsi="Calibri"/>
          <w:color w:val="17212B"/>
          <w:sz w:val="22"/>
          <w:szCs w:val="22"/>
        </w:rPr>
        <w:t xml:space="preserve">No autonomous geometry revision has been completed.</w:t>
      </w:r>
    </w:p>
    <w:p>
      <w:pPr>
        <w:pStyle w:val="Heading1"/>
        <w:keepNext/>
      </w:pPr>
      <w:r>
        <w:rPr>
          <w:rFonts w:ascii="Calibri" w:cs="Calibri" w:eastAsia="Calibri" w:hAnsi="Calibri"/>
          <w:b/>
          <w:bCs/>
          <w:color w:val="2E74B5"/>
          <w:sz w:val="32"/>
          <w:szCs w:val="32"/>
        </w:rPr>
        <w:t xml:space="preserve">9. SiteMorph Recommendation</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9360"/>
      </w:tblGrid>
      <w:tr>
        <w:trPr>
          <w:cantSplit/>
        </w:trPr>
        <w:tc>
          <w:tcPr>
            <w:tcW w:type="dxa" w:w="9360"/>
            <w:tcBorders>
              <w:top w:val="single" w:color="CCD4DB" w:sz="4"/>
              <w:left w:val="single" w:color="30C5B2" w:sz="20"/>
              <w:bottom w:val="single" w:color="CCD4DB" w:sz="4"/>
              <w:right w:val="single" w:color="CCD4DB" w:sz="4"/>
            </w:tcBorders>
            <w:shd w:fill="EAF7F5" w:color="auto" w:val="clear"/>
            <w:tcMar>
              <w:top w:type="dxa" w:w="100"/>
              <w:left w:type="dxa" w:w="140"/>
              <w:bottom w:type="dxa" w:w="100"/>
              <w:right w:type="dxa" w:w="140"/>
            </w:tcMar>
            <w:vAlign w:val="center"/>
          </w:tcPr>
          <w:p>
            <w:pPr>
              <w:pStyle w:val="ReportBody"/>
              <w:spacing w:after="100" w:line="264" w:lineRule="auto"/>
            </w:pPr>
            <w:r>
              <w:rPr>
                <w:rFonts w:ascii="Calibri" w:cs="Calibri" w:eastAsia="Calibri" w:hAnsi="Calibri"/>
                <w:b/>
                <w:bCs/>
                <w:color w:val="0D1A29"/>
                <w:sz w:val="26"/>
                <w:szCs w:val="26"/>
              </w:rPr>
              <w:t xml:space="preserve">Complete the generated Forma proposal before a design recommendation</w:t>
            </w:r>
          </w:p>
          <w:p>
            <w:pPr>
              <w:pStyle w:val="ReportBody"/>
              <w:spacing w:after="60" w:line="264" w:lineRule="auto"/>
            </w:pPr>
            <w:r>
              <w:rPr>
                <w:rFonts w:ascii="Calibri" w:cs="Calibri" w:eastAsia="Calibri" w:hAnsi="Calibri"/>
                <w:b/>
                <w:bCs/>
                <w:color w:val="17212B"/>
                <w:sz w:val="22"/>
                <w:szCs w:val="22"/>
              </w:rPr>
              <w:t xml:space="preserve">Confidence: </w:t>
            </w:r>
            <w:r>
              <w:rPr>
                <w:rFonts w:ascii="Calibri" w:cs="Calibri" w:eastAsia="Calibri" w:hAnsi="Calibri"/>
                <w:color w:val="17212B"/>
                <w:sz w:val="22"/>
                <w:szCs w:val="22"/>
              </w:rPr>
              <w:t xml:space="preserve">Preliminary</w:t>
            </w:r>
          </w:p>
          <w:p>
            <w:pPr>
              <w:pStyle w:val="ReportBody"/>
              <w:spacing w:after="60" w:line="264" w:lineRule="auto"/>
            </w:pPr>
            <w:r>
              <w:rPr>
                <w:rFonts w:ascii="Calibri" w:cs="Calibri" w:eastAsia="Calibri" w:hAnsi="Calibri"/>
                <w:b/>
                <w:bCs/>
                <w:color w:val="17212B"/>
                <w:sz w:val="22"/>
                <w:szCs w:val="22"/>
              </w:rPr>
              <w:t xml:space="preserve">Primary constraint: </w:t>
            </w:r>
            <w:r>
              <w:rPr>
                <w:rFonts w:ascii="Calibri" w:cs="Calibri" w:eastAsia="Calibri" w:hAnsi="Calibri"/>
                <w:color w:val="17212B"/>
                <w:sz w:val="22"/>
                <w:szCs w:val="22"/>
              </w:rPr>
              <w:t xml:space="preserve">Persistent hot-season thermal load</w:t>
            </w:r>
          </w:p>
          <w:p>
            <w:pPr>
              <w:pStyle w:val="ReportBody"/>
              <w:spacing w:after="0" w:line="264" w:lineRule="auto"/>
            </w:pPr>
            <w:r>
              <w:rPr>
                <w:rFonts w:ascii="Calibri" w:cs="Calibri" w:eastAsia="Calibri" w:hAnsi="Calibri"/>
                <w:b/>
                <w:bCs/>
                <w:color w:val="17212B"/>
                <w:sz w:val="22"/>
                <w:szCs w:val="22"/>
              </w:rPr>
              <w:t xml:space="preserve">Next decision: </w:t>
            </w:r>
            <w:r>
              <w:rPr>
                <w:rFonts w:ascii="Calibri" w:cs="Calibri" w:eastAsia="Calibri" w:hAnsi="Calibri"/>
                <w:color w:val="17212B"/>
                <w:sz w:val="22"/>
                <w:szCs w:val="22"/>
              </w:rPr>
              <w:t xml:space="preserve">Generate, analyze and revise one requirements-driven building.</w:t>
            </w:r>
          </w:p>
        </w:tc>
      </w:tr>
    </w:tbl>
    <w:p>
      <w:pPr>
        <w:pStyle w:val="Heading1"/>
        <w:keepNext/>
      </w:pPr>
      <w:r>
        <w:rPr>
          <w:rFonts w:ascii="Calibri" w:cs="Calibri" w:eastAsia="Calibri" w:hAnsi="Calibri"/>
          <w:b/>
          <w:bCs/>
          <w:color w:val="2E74B5"/>
          <w:sz w:val="32"/>
          <w:szCs w:val="32"/>
        </w:rPr>
        <w:t xml:space="preserve">10. Evidence trail</w:t>
      </w:r>
    </w:p>
    <w:p>
      <w:pPr>
        <w:pStyle w:val="Heading2"/>
        <w:keepNext/>
      </w:pPr>
      <w:r>
        <w:rPr>
          <w:rFonts w:ascii="Calibri" w:cs="Calibri" w:eastAsia="Calibri" w:hAnsi="Calibri"/>
          <w:b/>
          <w:bCs/>
          <w:color w:val="17374B"/>
          <w:sz w:val="26"/>
          <w:szCs w:val="26"/>
        </w:rPr>
        <w:t xml:space="preserve">FortyGuard heat activities</w:t>
      </w:r>
    </w:p>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1200"/>
        <w:gridCol w:w="2040"/>
        <w:gridCol w:w="2040"/>
        <w:gridCol w:w="2040"/>
        <w:gridCol w:w="2040"/>
      </w:tblGrid>
      <w:tr>
        <w:trPr>
          <w:cantSplit/>
          <w:tblHeader/>
        </w:trPr>
        <w:tc>
          <w:tcPr>
            <w:tcW w:type="dxa" w:w="12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Date</w:t>
            </w:r>
          </w:p>
        </w:tc>
        <w:tc>
          <w:tcPr>
            <w:tcW w:type="dxa" w:w="204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TCM</w:t>
            </w:r>
          </w:p>
        </w:tc>
        <w:tc>
          <w:tcPr>
            <w:tcW w:type="dxa" w:w="204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Persistence</w:t>
            </w:r>
          </w:p>
        </w:tc>
        <w:tc>
          <w:tcPr>
            <w:tcW w:type="dxa" w:w="204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Exceedance</w:t>
            </w:r>
          </w:p>
        </w:tc>
        <w:tc>
          <w:tcPr>
            <w:tcW w:type="dxa" w:w="204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Peak time</w:t>
            </w:r>
          </w:p>
        </w:tc>
      </w:tr>
      <w:tr>
        <w:trPr>
          <w:cantSplit/>
        </w:trPr>
        <w:tc>
          <w:tcPr>
            <w:tcW w:type="dxa" w:w="120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Primary</w:t>
            </w:r>
          </w:p>
        </w:tc>
        <w:tc>
          <w:tcPr>
            <w:tcW w:type="dxa" w:w="204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fg_act_9c2a14d8</w:t>
            </w:r>
          </w:p>
        </w:tc>
        <w:tc>
          <w:tcPr>
            <w:tcW w:type="dxa" w:w="204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
            </w:r>
          </w:p>
        </w:tc>
        <w:tc>
          <w:tcPr>
            <w:tcW w:type="dxa" w:w="204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
            </w:r>
          </w:p>
        </w:tc>
        <w:tc>
          <w:tcPr>
            <w:tcW w:type="dxa" w:w="204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
            </w:r>
          </w:p>
        </w:tc>
      </w:tr>
    </w:tbl>
    <w:tbl>
      <w:tblPr>
        <w:tblW w:type="dxa" w:w="9360"/>
        <w:tblInd w:type="dxa" w:w="120"/>
        <w:tblBorders>
          <w:top w:val="single" w:color="CCD4DB" w:sz="4"/>
          <w:left w:val="single" w:color="CCD4DB" w:sz="4"/>
          <w:bottom w:val="single" w:color="CCD4DB" w:sz="4"/>
          <w:right w:val="single" w:color="CCD4DB" w:sz="4"/>
          <w:insideH w:val="single" w:color="CCD4DB" w:sz="4"/>
          <w:insideV w:val="single" w:color="CCD4DB" w:sz="4"/>
        </w:tblBorders>
        <w:tblLayout w:type="fixed"/>
        <w:tblCellMar>
          <w:top w:type="dxa" w:w="80"/>
          <w:left w:type="dxa" w:w="120"/>
          <w:bottom w:type="dxa" w:w="80"/>
          <w:right w:type="dxa" w:w="120"/>
        </w:tblCellMar>
      </w:tblPr>
      <w:tblGrid>
        <w:gridCol w:w="2700"/>
        <w:gridCol w:w="6660"/>
      </w:tblGrid>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Site context</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Archived South Phoenix satellite, surface and street imagery - captured 23 Aug 2026 - no new FortyGuard activity</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Forma analyses</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None recorded - building not generated</w:t>
            </w:r>
          </w:p>
        </w:tc>
      </w:tr>
      <w:tr>
        <w:trPr>
          <w:cantSplit/>
        </w:trPr>
        <w:tc>
          <w:tcPr>
            <w:tcW w:type="dxa" w:w="2700"/>
            <w:tcBorders>
              <w:top w:val="single" w:color="CCD4DB" w:sz="4"/>
              <w:left w:val="single" w:color="CCD4DB" w:sz="4"/>
              <w:bottom w:val="single" w:color="CCD4DB" w:sz="4"/>
              <w:right w:val="single" w:color="CCD4DB" w:sz="4"/>
            </w:tcBorders>
            <w:shd w:fill="EDF5F7" w:color="auto" w:val="clear"/>
            <w:tcMar>
              <w:top w:type="dxa" w:w="100"/>
              <w:left w:type="dxa" w:w="140"/>
              <w:bottom w:type="dxa" w:w="100"/>
              <w:right w:type="dxa" w:w="140"/>
            </w:tcMar>
            <w:vAlign w:val="center"/>
          </w:tcPr>
          <w:p>
            <w:pPr>
              <w:pStyle w:val="ReportBody"/>
              <w:spacing w:after="0" w:line="264" w:lineRule="auto"/>
            </w:pPr>
            <w:r>
              <w:rPr>
                <w:rFonts w:ascii="Calibri" w:cs="Calibri" w:eastAsia="Calibri" w:hAnsi="Calibri"/>
                <w:b/>
                <w:bCs/>
                <w:color w:val="17374B"/>
                <w:sz w:val="20"/>
                <w:szCs w:val="20"/>
              </w:rPr>
              <w:t xml:space="preserve">SiteMorph decision</w:t>
            </w:r>
          </w:p>
        </w:tc>
        <w:tc>
          <w:tcPr>
            <w:tcW w:type="dxa" w:w="6660"/>
            <w:tcBorders>
              <w:top w:val="single" w:color="CCD4DB" w:sz="4"/>
              <w:left w:val="single" w:color="CCD4DB" w:sz="4"/>
              <w:bottom w:val="single" w:color="CCD4DB" w:sz="4"/>
              <w:right w:val="single" w:color="CCD4DB" w:sz="4"/>
            </w:tcBorders>
            <w:tcMar>
              <w:top w:type="dxa" w:w="100"/>
              <w:left w:type="dxa" w:w="140"/>
              <w:bottom w:type="dxa" w:w="100"/>
              <w:right w:type="dxa" w:w="140"/>
            </w:tcMar>
            <w:vAlign w:val="center"/>
          </w:tcPr>
          <w:p>
            <w:pPr>
              <w:pStyle w:val="ReportBody"/>
              <w:spacing w:after="0" w:line="264" w:lineRule="auto"/>
            </w:pPr>
            <w:r>
              <w:rPr>
                <w:rFonts w:ascii="Calibri" w:cs="Calibri" w:eastAsia="Calibri" w:hAnsi="Calibri"/>
                <w:color w:val="17212B"/>
                <w:sz w:val="20"/>
                <w:szCs w:val="20"/>
              </w:rPr>
              <w:t xml:space="preserve">Generate and validate one Forma building: Historical evidence is ready; native spatial validation is the next step.</w:t>
            </w:r>
          </w:p>
        </w:tc>
      </w:tr>
    </w:tbl>
    <w:p>
      <w:pPr>
        <w:pStyle w:val="Heading2"/>
        <w:keepNext/>
      </w:pPr>
      <w:r>
        <w:rPr>
          <w:rFonts w:ascii="Calibri" w:cs="Calibri" w:eastAsia="Calibri" w:hAnsi="Calibri"/>
          <w:b/>
          <w:bCs/>
          <w:color w:val="17374B"/>
          <w:sz w:val="26"/>
          <w:szCs w:val="26"/>
        </w:rPr>
        <w:t xml:space="preserve">Limitations</w:t>
      </w:r>
    </w:p>
    <w:p>
      <w:pPr>
        <w:pStyle w:val="ReportBody"/>
        <w:spacing w:after="120" w:line="264" w:lineRule="auto"/>
      </w:pPr>
      <w:r>
        <w:rPr>
          <w:rFonts w:ascii="Calibri" w:cs="Calibri" w:eastAsia="Calibri" w:hAnsi="Calibri"/>
          <w:color w:val="17212B"/>
          <w:sz w:val="22"/>
          <w:szCs w:val="22"/>
        </w:rPr>
        <w:t xml:space="preserve">FortyGuard supplies historical thermal and site context. Forma remains responsible for native sun, wind, daylight, microclimate, energy, noise, solar and carbon validation. Archived imagery is labeled separately and is not presented as part of the current thermal run. This document is a concept-stage intelligence and design report, not a zoning determination, engineering certification, environmental-impact statement, financial feasibility study or permit document.</w:t>
      </w:r>
    </w:p>
    <w:sectPr>
      <w:headerReference w:type="default" r:id="rId6"/>
      <w:headerReference w:type="firs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0C5B2" w:sz="8"/>
      </w:pBdr>
      <w:spacing w:before="80" w:after="0"/>
      <w:jc w:val="right"/>
    </w:pPr>
    <w:r>
      <w:rPr>
        <w:rFonts w:ascii="Calibri" w:cs="Calibri" w:eastAsia="Calibri" w:hAnsi="Calibri"/>
        <w:color w:val="5F6B76"/>
        <w:sz w:val="17"/>
        <w:szCs w:val="17"/>
      </w:rPr>
      <w:t xml:space="preserve">SiteMorph  |  Evidence-to-design report  |  Page </w:t>
    </w:r>
    <w:r>
      <w:rPr>
        <w:rFonts w:ascii="Calibri" w:cs="Calibri" w:eastAsia="Calibri" w:hAnsi="Calibri"/>
        <w:color w:val="5F6B7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C5B2" w:sz="8"/>
      </w:pBdr>
      <w:spacing w:after="60"/>
    </w:pPr>
    <w:r>
      <w:rPr>
        <w:rFonts w:ascii="Calibri" w:cs="Calibri" w:eastAsia="Calibri" w:hAnsi="Calibri"/>
        <w:b/>
        <w:bCs/>
        <w:color w:val="0D1A29"/>
        <w:sz w:val="18"/>
        <w:szCs w:val="18"/>
      </w:rPr>
      <w:t xml:space="preserve">SiteMorph  |  Site Intelligence &amp; Climate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280" w:lineRule="auto"/>
        <w:ind w:left="720" w:hanging="360"/>
      </w:pPr>
      <w:rPr>
        <w:rFonts w:ascii="Calibri" w:cs="Calibri" w:eastAsia="Calibri" w:hAnsi="Calibri"/>
        <w:color w:val="17212B"/>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ReportTitle">
    <w:name w:val="Report Title"/>
    <w:basedOn w:val="Normal"/>
    <w:next w:val="ReportBody"/>
    <w:qFormat/>
    <w:pPr>
      <w:keepNext/>
      <w:spacing w:before="80" w:after="120"/>
    </w:pPr>
    <w:rPr>
      <w:rFonts w:ascii="Calibri" w:cs="Calibri" w:eastAsia="Calibri" w:hAnsi="Calibri"/>
      <w:b/>
      <w:bCs/>
      <w:color w:val="0D1A29"/>
      <w:sz w:val="44"/>
      <w:szCs w:val="44"/>
    </w:rPr>
  </w:style>
  <w:style w:type="paragraph" w:styleId="Kicker">
    <w:name w:val="Kicker"/>
    <w:basedOn w:val="Normal"/>
    <w:next w:val="ReportTitle"/>
    <w:qFormat/>
    <w:pPr>
      <w:keepNext/>
      <w:spacing w:before="100" w:after="40"/>
    </w:pPr>
    <w:rPr>
      <w:rFonts w:ascii="Calibri" w:cs="Calibri" w:eastAsia="Calibri" w:hAnsi="Calibri"/>
      <w:b/>
      <w:bCs/>
      <w:color w:val="30C5B2"/>
      <w:sz w:val="18"/>
      <w:szCs w:val="18"/>
    </w:rPr>
  </w:style>
  <w:style w:type="paragraph" w:styleId="ReportBody">
    <w:name w:val="Report Body"/>
    <w:basedOn w:val="Normal"/>
    <w:next w:val="ReportBody"/>
    <w:qFormat/>
    <w:pPr>
      <w:spacing w:before="0" w:after="120" w:line="264" w:lineRule="auto"/>
    </w:pPr>
    <w:rPr>
      <w:rFonts w:ascii="Calibri" w:cs="Calibri" w:eastAsia="Calibri" w:hAnsi="Calibri"/>
      <w:color w:val="17212B"/>
      <w:sz w:val="22"/>
      <w:szCs w:val="22"/>
    </w:rPr>
  </w:style>
  <w:style w:type="paragraph" w:styleId="Heading1">
    <w:name w:val="Heading 1"/>
    <w:basedOn w:val="ReportBody"/>
    <w:next w:val="ReportBody"/>
    <w:qFormat/>
    <w:pPr>
      <w:keepNext/>
      <w:spacing w:before="320" w:after="160"/>
      <w:outlineLvl w:val="0"/>
    </w:pPr>
    <w:rPr>
      <w:rFonts w:ascii="Calibri" w:cs="Calibri" w:eastAsia="Calibri" w:hAnsi="Calibri"/>
      <w:b/>
      <w:bCs/>
      <w:color w:val="2E74B5"/>
      <w:sz w:val="32"/>
      <w:szCs w:val="32"/>
    </w:rPr>
  </w:style>
  <w:style w:type="paragraph" w:styleId="Heading2">
    <w:name w:val="Heading 2"/>
    <w:basedOn w:val="ReportBody"/>
    <w:next w:val="ReportBody"/>
    <w:qFormat/>
    <w:pPr>
      <w:keepNext/>
      <w:spacing w:before="240" w:after="120"/>
      <w:outlineLvl w:val="1"/>
    </w:pPr>
    <w:rPr>
      <w:rFonts w:ascii="Calibri" w:cs="Calibri" w:eastAsia="Calibri" w:hAnsi="Calibri"/>
      <w:b/>
      <w:bCs/>
      <w:color w:val="2E74B5"/>
      <w:sz w:val="26"/>
      <w:szCs w:val="26"/>
    </w:rPr>
  </w:style>
  <w:style w:type="paragraph" w:styleId="Heading3">
    <w:name w:val="Heading 3"/>
    <w:basedOn w:val="ReportBody"/>
    <w:next w:val="ReportBody"/>
    <w:qFormat/>
    <w:pPr>
      <w:keepNext/>
      <w:spacing w:before="160" w:after="80"/>
      <w:outlineLvl w:val="2"/>
    </w:pPr>
    <w:rPr>
      <w:rFonts w:ascii="Calibri" w:cs="Calibri" w:eastAsia="Calibri" w:hAnsi="Calibri"/>
      <w:b/>
      <w:bCs/>
      <w:color w:val="17374B"/>
      <w:sz w:val="24"/>
      <w:szCs w:val="24"/>
    </w:rPr>
  </w:style>
  <w:style w:type="paragraph" w:styleId="Caption">
    <w:name w:val="Caption"/>
    <w:basedOn w:val="ReportBody"/>
    <w:next w:val="ReportBody"/>
    <w:qFormat/>
    <w:pPr>
      <w:spacing w:before="0" w:after="140" w:line="220" w:lineRule="auto"/>
    </w:pPr>
    <w:rPr>
      <w:rFonts w:ascii="Calibri" w:cs="Calibri" w:eastAsia="Calibri" w:hAnsi="Calibri"/>
      <w:i/>
      <w:iCs/>
      <w:color w:val="5F6B76"/>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1834b26c4e2eb09b462887a0fc565c5959ab8310.png"/><Relationship Id="rId10" Type="http://schemas.openxmlformats.org/officeDocument/2006/relationships/image" Target="media/21366ff0448ed07baf8f85a3697353f53fef1618.jpg"/><Relationship Id="rId11" Type="http://schemas.openxmlformats.org/officeDocument/2006/relationships/image" Target="media/392e3f4db4fd16bdc5ce93ced0ab2d2d8db22133.png"/><Relationship Id="rId12" Type="http://schemas.openxmlformats.org/officeDocument/2006/relationships/image" Target="media/8b59fca3208c449229e44e5be9d23eb79d5eaf0f.png"/><Relationship Id="rId13" Type="http://schemas.openxmlformats.org/officeDocument/2006/relationships/image" Target="media/5763fa0e2b0f3d4c52796fb3c0a9b0e0cb6a7d95.jpg"/><Relationship Id="rId14" Type="http://schemas.openxmlformats.org/officeDocument/2006/relationships/image" Target="media/aec829f7f6bc3f55b5954f51cbc39e7c6acc6ca1.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SiteMorph - Site Intelligence &amp; Climate Design Report</dc:title>
  <dc:creator>SiteMorph</dc:creator>
  <dc:description>Evidence-to-design report combining FortyGuard historical context with Autodesk Forma validation.</dc:description>
  <cp:lastModifiedBy>Un-named</cp:lastModifiedBy>
  <cp:revision>1</cp:revision>
  <dcterms:created xsi:type="dcterms:W3CDTF">2026-08-25T21:32:06.018Z</dcterms:created>
  <dcterms:modified xsi:type="dcterms:W3CDTF">2026-08-25T21:32:06.018Z</dcterms:modified>
</cp:coreProperties>
</file>

<file path=docProps/custom.xml><?xml version="1.0" encoding="utf-8"?>
<Properties xmlns="http://schemas.openxmlformats.org/officeDocument/2006/custom-properties" xmlns:vt="http://schemas.openxmlformats.org/officeDocument/2006/docPropsVTypes"/>
</file>