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4"/>
        </w:rPr>
        <w:t>Project Design Phase-II</w:t>
      </w:r>
    </w:p>
    <w:p>
      <w:pPr>
        <w:jc w:val="center"/>
      </w:pPr>
      <w:r>
        <w:rPr>
          <w:b/>
          <w:sz w:val="26"/>
        </w:rPr>
        <w:t>Solution Requirements (Functional &amp; Non-functional)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4472C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31 January 2025</w:t>
            </w:r>
          </w:p>
        </w:tc>
      </w:tr>
      <w:tr>
        <w:tc>
          <w:tcPr>
            <w:tcW w:type="dxa" w:w="5328"/>
            <w:shd w:fill="4472C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To be filled</w:t>
            </w:r>
          </w:p>
        </w:tc>
      </w:tr>
      <w:tr>
        <w:tc>
          <w:tcPr>
            <w:tcW w:type="dxa" w:w="5328"/>
            <w:shd w:fill="4472C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PocketSmart AI</w:t>
            </w:r>
          </w:p>
        </w:tc>
      </w:tr>
      <w:tr>
        <w:tc>
          <w:tcPr>
            <w:tcW w:type="dxa" w:w="5328"/>
            <w:shd w:fill="4472C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 Marks</w:t>
            </w:r>
          </w:p>
        </w:tc>
      </w:tr>
    </w:tbl>
    <w:p>
      <w:pPr>
        <w:spacing w:before="140" w:after="80"/>
      </w:pPr>
      <w:r>
        <w:rPr>
          <w:rFonts w:ascii="Aptos Display" w:hAnsi="Aptos Display"/>
          <w:b/>
          <w:sz w:val="28"/>
        </w:rPr>
        <w:t>Functional Requirements:</w:t>
      </w:r>
    </w:p>
    <w:p>
      <w:r>
        <w:t>Following are the functional requirements of the proposed PocketSmart AI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936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FR No.</w:t>
            </w:r>
          </w:p>
        </w:tc>
        <w:tc>
          <w:tcPr>
            <w:tcW w:type="dxa" w:w="2232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Functional Requirement (Epic)</w:t>
            </w:r>
          </w:p>
        </w:tc>
        <w:tc>
          <w:tcPr>
            <w:tcW w:type="dxa" w:w="7344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Sub Requirement (Story / Sub-Task)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FR-1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User Registration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Registration through form using username, email, password and password confirmation; duplicate username/email validation.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FR-2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User Login &amp; Session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Login using username and password; JWT-based authentication and secure session cookie; logout and session information.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FR-3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Dashboard &amp; Planner Access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Authenticated user can access the dashboard and open Home Planner, Party Planner and Jewelry Planner.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FR-4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Home Budget Planner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Accept budget, preferred style, notes, rooms, requested items and quantities; generate budget-aware home recommendations.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FR-5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Party Budget Planner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Accept budget, event type, guest count, venue, city and notes; generate event planning recommendations within the budget.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FR-6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Jewelry Budget Planner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Accept budget, occasion, style, metal and notes; optionally process an outfit image and generate jewelry recommendations.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FR-7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AI Recommendation Generation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Use Gemini AI to generate structured recommendations containing summary, sections, allocated budgets, items, quantities, prices and tips.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FR-8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Budget Validation &amp; Fallback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Normalize AI output, calculate estimated totals, flag over-budget plans, and use rule-based fallback recommendations if Gemini is unavailable or fails.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FR-9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Shopping Search Support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Generate safe platform search links for supported recommendation platforms instead of trusting arbitrary AI-generated URLs.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FR-10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Recommendation History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Save generated recommendations to SQLite and allow authenticated users to view recommendation history and details.</w:t>
            </w:r>
          </w:p>
        </w:tc>
      </w:tr>
    </w:tbl>
    <w:p>
      <w:pPr>
        <w:spacing w:before="140" w:after="80"/>
      </w:pPr>
      <w:r>
        <w:rPr>
          <w:rFonts w:ascii="Aptos Display" w:hAnsi="Aptos Display"/>
          <w:b/>
          <w:sz w:val="28"/>
        </w:rPr>
        <w:t>Non-functional Requirements:</w:t>
      </w:r>
    </w:p>
    <w:p>
      <w:r>
        <w:t>The following non-functional requirements are derived from the implemented PocketSmart AI architecture and code 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008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NFR No.</w:t>
            </w:r>
          </w:p>
        </w:tc>
        <w:tc>
          <w:tcPr>
            <w:tcW w:type="dxa" w:w="2160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Non-Functional Requirement</w:t>
            </w:r>
          </w:p>
        </w:tc>
        <w:tc>
          <w:tcPr>
            <w:tcW w:type="dxa" w:w="7344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NFR-1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Usability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Simple web interface using Jinja2 templates with separate planners, dashboard, recommendation result and history pages.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NFR-2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Security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Passwords are hashed with bcrypt; JWT authentication is used; protected planner/history routes require an authenticated user; upload handling is restricted.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NFR-3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Reliability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The application provides rule-based fallback recommendations when Gemini is not configured or an AI request fails.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NFR-4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Performance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Planner routes are asynchronous; Gemini calls are executed without blocking the main event loop; SQLite provides lightweight local persistence.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NFR-5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Availability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The application can run without a Gemini API key by using fallback recommendations; health endpoint reports application/Gemini configuration status.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NFR-6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Scalability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Planner logic is separated into routes, schemas, services and database layers, making new planner categories and recommendation services easier to add.</w:t>
            </w:r>
          </w:p>
        </w:tc>
      </w:tr>
    </w:tbl>
    <w:p>
      <w:pPr>
        <w:spacing w:before="120"/>
      </w:pPr>
      <w:r>
        <w:rPr>
          <w:i/>
          <w:color w:val="646464"/>
          <w:sz w:val="16"/>
        </w:rPr>
        <w:t>Source basis: PocketSmart AI project README, FastAPI routes, Pydantic schemas, Gemini service, catalog service, database and security modules.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