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tabs>
          <w:tab w:val="left" w:pos="1139"/>
          <w:tab w:val="center" w:pos="4453"/>
        </w:tabs>
        <w:kinsoku/>
        <w:wordWrap/>
        <w:overflowPunct w:val="0"/>
        <w:topLinePunct/>
        <w:autoSpaceDE w:val="0"/>
        <w:autoSpaceDN w:val="0"/>
        <w:bidi w:val="0"/>
        <w:adjustRightInd/>
        <w:snapToGrid/>
        <w:ind w:firstLine="482"/>
        <w:jc w:val="left"/>
        <w:textAlignment w:val="auto"/>
        <w:rPr>
          <w:rFonts w:ascii="宋体" w:hAnsi="宋体" w:eastAsia="宋体" w:cstheme="minorEastAsia"/>
          <w:b/>
          <w:bCs w:val="0"/>
          <w:sz w:val="36"/>
          <w:szCs w:val="36"/>
          <w:lang w:eastAsia="zh-CN"/>
        </w:rPr>
      </w:pPr>
      <w:r>
        <w:rPr>
          <w:rFonts w:hint="eastAsia" w:ascii="宋体" w:hAnsi="宋体" w:eastAsia="宋体" w:cstheme="minorEastAsia"/>
          <w:b/>
          <w:bCs w:val="0"/>
          <w:sz w:val="36"/>
          <w:szCs w:val="36"/>
          <w:lang w:eastAsia="zh-CN"/>
        </w:rPr>
        <w:tab/>
      </w:r>
      <w:r>
        <w:rPr>
          <w:rFonts w:hint="eastAsia" w:ascii="宋体" w:hAnsi="宋体" w:eastAsia="宋体" w:cstheme="minorEastAsia"/>
          <w:b/>
          <w:bCs w:val="0"/>
          <w:sz w:val="36"/>
          <w:szCs w:val="36"/>
          <w:lang w:eastAsia="zh-CN"/>
        </w:rPr>
        <w:tab/>
      </w:r>
      <w:r>
        <w:rPr>
          <w:rFonts w:hint="eastAsia" w:ascii="宋体" w:hAnsi="宋体" w:eastAsia="宋体" w:cstheme="minorEastAsia"/>
          <w:b/>
          <w:bCs w:val="0"/>
          <w:sz w:val="36"/>
          <w:szCs w:val="36"/>
          <w:lang w:eastAsia="zh-CN"/>
        </w:rPr>
        <w:t>大数据应用与服务赛项-标准答案（A卷）</w:t>
      </w:r>
    </w:p>
    <w:p>
      <w:pPr>
        <w:pStyle w:val="3"/>
        <w:ind w:firstLine="482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模块三：业务数据分析与可视化（30分）</w:t>
      </w:r>
    </w:p>
    <w:p>
      <w:pPr>
        <w:pStyle w:val="4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任务一：数据可视化（20分）</w:t>
      </w:r>
    </w:p>
    <w:p>
      <w:pPr>
        <w:pStyle w:val="5"/>
        <w:ind w:firstLine="482"/>
        <w:rPr>
          <w:rFonts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</w:rPr>
        <w:t>子任务一：基于 Echarts 的数据可视化分析（5分）</w:t>
      </w:r>
    </w:p>
    <w:p>
      <w:pPr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Echarts柱状图渲染完成后截图粘贴到此处。结果如下图：5分</w:t>
      </w:r>
    </w:p>
    <w:p>
      <w:pPr>
        <w:jc w:val="center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drawing>
          <wp:inline distT="0" distB="0" distL="114300" distR="114300">
            <wp:extent cx="6083300" cy="1461135"/>
            <wp:effectExtent l="0" t="0" r="12700" b="12065"/>
            <wp:docPr id="82" name="图片 1" descr="55c719d33e02011ee97c54550dc6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" descr="55c719d33e02011ee97c54550dc67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3225" cy="146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420" w:firstLine="42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得分点：</w:t>
      </w:r>
    </w:p>
    <w:p>
      <w:pPr>
        <w:numPr>
          <w:ilvl w:val="0"/>
          <w:numId w:val="1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显示为柱状图得1分；</w:t>
      </w:r>
    </w:p>
    <w:p>
      <w:pPr>
        <w:numPr>
          <w:ilvl w:val="0"/>
          <w:numId w:val="1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统计“平均最高气温”每个数据标签正确得2分；</w:t>
      </w:r>
    </w:p>
    <w:p>
      <w:pPr>
        <w:numPr>
          <w:ilvl w:val="0"/>
          <w:numId w:val="1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统计“平均最低气温”每个数据标签正确得2分；</w:t>
      </w:r>
    </w:p>
    <w:p>
      <w:pPr>
        <w:pStyle w:val="5"/>
        <w:ind w:firstLine="482"/>
        <w:rPr>
          <w:rFonts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</w:rPr>
        <w:t>子任务二：基于Pythont进行灾害损失可视化分析（5分）</w:t>
      </w:r>
    </w:p>
    <w:p>
      <w:pPr>
        <w:spacing w:line="360" w:lineRule="auto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仿宋"/>
          <w:sz w:val="24"/>
          <w:szCs w:val="24"/>
          <w:lang w:eastAsia="zh-CN"/>
        </w:rPr>
        <w:t>中国各年份死亡人数折线图截图（2.5分）</w:t>
      </w:r>
    </w:p>
    <w:p>
      <w:pPr>
        <w:widowControl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eastAsia="zh-CN" w:bidi="ar"/>
        </w:rPr>
        <w:drawing>
          <wp:inline distT="0" distB="0" distL="114300" distR="114300">
            <wp:extent cx="5760085" cy="1915795"/>
            <wp:effectExtent l="0" t="0" r="5715" b="14605"/>
            <wp:docPr id="1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得分点：</w:t>
      </w:r>
    </w:p>
    <w:p>
      <w:pPr>
        <w:numPr>
          <w:ilvl w:val="0"/>
          <w:numId w:val="2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标题为“死亡人数”，x轴标签为“年份”,y轴标签为“总死亡人数（万人）”，得1分。</w:t>
      </w:r>
    </w:p>
    <w:p>
      <w:pPr>
        <w:numPr>
          <w:ilvl w:val="0"/>
          <w:numId w:val="2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折线图颜色、趋势一致得1分。</w:t>
      </w:r>
    </w:p>
    <w:p>
      <w:pPr>
        <w:numPr>
          <w:ilvl w:val="0"/>
          <w:numId w:val="2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折线图上的点是实心圆得0.5分。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2）中国各年份总经济损失折线图截图（2.5分）</w:t>
      </w:r>
    </w:p>
    <w:p>
      <w:pPr>
        <w:widowControl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eastAsia="zh-CN" w:bidi="ar"/>
        </w:rPr>
        <w:drawing>
          <wp:inline distT="0" distB="0" distL="114300" distR="114300">
            <wp:extent cx="5760085" cy="1946910"/>
            <wp:effectExtent l="0" t="0" r="5715" b="889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得分点：</w:t>
      </w:r>
    </w:p>
    <w:p>
      <w:pPr>
        <w:numPr>
          <w:ilvl w:val="0"/>
          <w:numId w:val="3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标题为“经济损失”，x轴标签为“年份”,y轴标签为“总经济损失（亿元）”得1分。</w:t>
      </w:r>
    </w:p>
    <w:p>
      <w:pPr>
        <w:numPr>
          <w:ilvl w:val="0"/>
          <w:numId w:val="3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折线图颜色、趋势一致得1分。</w:t>
      </w:r>
    </w:p>
    <w:p>
      <w:pPr>
        <w:numPr>
          <w:ilvl w:val="0"/>
          <w:numId w:val="3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折线图上的点是实心圆得0.5分。</w:t>
      </w:r>
    </w:p>
    <w:p>
      <w:pPr>
        <w:pStyle w:val="5"/>
        <w:ind w:firstLine="482"/>
        <w:rPr>
          <w:rFonts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</w:rPr>
        <w:t>子任务三：基于Python进行城市全年温度对比分析（5分）</w:t>
      </w:r>
    </w:p>
    <w:p>
      <w:pPr>
        <w:spacing w:line="360" w:lineRule="auto"/>
        <w:ind w:firstLine="48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结果如下图：5分</w:t>
      </w:r>
    </w:p>
    <w:p>
      <w:pPr>
        <w:widowControl/>
        <w:jc w:val="both"/>
        <w:rPr>
          <w:rFonts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</w:rPr>
        <w:drawing>
          <wp:inline distT="0" distB="0" distL="114300" distR="114300">
            <wp:extent cx="4627245" cy="3453765"/>
            <wp:effectExtent l="0" t="0" r="20955" b="635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4135" t="6434" r="5111" b="3261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420" w:firstLine="42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得分点：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标题一致得0.5分；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折线图显示“青岛”、“上海”、“重庆”三种不同颜色得1.5分；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横轴标题显示“月份1-12月”得0.5分；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纵轴标题显示“温度°C”得0.5分；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数据一致得1分；</w:t>
      </w:r>
    </w:p>
    <w:p>
      <w:pPr>
        <w:numPr>
          <w:ilvl w:val="0"/>
          <w:numId w:val="4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图例背景颜色显示一致得1分</w:t>
      </w:r>
    </w:p>
    <w:p>
      <w:pPr>
        <w:pStyle w:val="5"/>
        <w:ind w:firstLine="482"/>
        <w:rPr>
          <w:rFonts w:hint="eastAsia"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  <w:lang w:val="en-US" w:eastAsia="zh-CN"/>
        </w:rPr>
        <w:t>子</w:t>
      </w:r>
      <w:r>
        <w:rPr>
          <w:rFonts w:hint="eastAsia" w:ascii="宋体" w:hAnsi="宋体" w:eastAsia="宋体" w:cs="仿宋"/>
          <w:sz w:val="24"/>
          <w:szCs w:val="24"/>
        </w:rPr>
        <w:t>任务四：基于Python实现历史最高温城市排名分析（5分）</w:t>
      </w:r>
    </w:p>
    <w:p>
      <w:pPr>
        <w:spacing w:line="360" w:lineRule="auto"/>
        <w:ind w:firstLine="48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结果如下图：5分</w:t>
      </w:r>
    </w:p>
    <w:p>
      <w:pPr>
        <w:widowControl/>
        <w:jc w:val="center"/>
        <w:rPr>
          <w:rFonts w:ascii="宋体" w:hAnsi="宋体" w:eastAsia="宋体" w:cs="仿宋"/>
          <w:sz w:val="24"/>
          <w:szCs w:val="24"/>
        </w:rPr>
      </w:pPr>
      <w:r>
        <w:rPr>
          <w:rFonts w:hint="eastAsia" w:ascii="宋体" w:hAnsi="宋体" w:eastAsia="宋体" w:cs="仿宋"/>
          <w:sz w:val="24"/>
          <w:szCs w:val="24"/>
        </w:rPr>
        <w:drawing>
          <wp:inline distT="0" distB="0" distL="114300" distR="114300">
            <wp:extent cx="4925060" cy="4106545"/>
            <wp:effectExtent l="0" t="0" r="2540" b="825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5643" t="7277" r="6863" b="519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ascii="宋体" w:hAnsi="宋体" w:eastAsia="宋体" w:cs="仿宋"/>
          <w:sz w:val="24"/>
          <w:szCs w:val="24"/>
        </w:rPr>
      </w:pPr>
    </w:p>
    <w:p>
      <w:pPr>
        <w:snapToGrid w:val="0"/>
        <w:spacing w:line="360" w:lineRule="auto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得分点：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图像标题显示“2011-2021中高温城市排名”得0.5分；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每个数据标签单位带有°C得1分；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柱状图颜色一致得0.5分；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横轴标题显示“城市”且不重复得1分；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纵轴标题显示“最高温（°C）”且刻度区间在0-55以内得1分；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每个数据标签一致得0.5分；</w:t>
      </w:r>
    </w:p>
    <w:p>
      <w:pPr>
        <w:numPr>
          <w:ilvl w:val="0"/>
          <w:numId w:val="5"/>
        </w:numPr>
        <w:snapToGrid w:val="0"/>
        <w:spacing w:line="360" w:lineRule="auto"/>
        <w:ind w:firstLine="48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主题颜色一致得0.5分；</w:t>
      </w:r>
    </w:p>
    <w:p>
      <w:pPr>
        <w:pStyle w:val="4"/>
        <w:ind w:firstLine="48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任务二：业务分析（10分）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从图可知，成都的风力明显比青岛和大连小，是因为成都处理四川盆地内，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周围的高山抵挡了大部分的气流。大连和青岛的风力走势一致，且呈现冬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季风大、夏季风小的规律。因为夏季风力主要来自东南海洋，而冬季风力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主要来自西伯利亚。（此题为主观答案，描述合理即可）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得分点：</w:t>
      </w:r>
    </w:p>
    <w:p>
      <w:pPr>
        <w:numPr>
          <w:ilvl w:val="0"/>
          <w:numId w:val="6"/>
        </w:numPr>
        <w:snapToGrid w:val="0"/>
        <w:spacing w:line="360" w:lineRule="auto"/>
        <w:ind w:firstLine="480" w:firstLineChars="20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出现成都、大连、青岛三个城市描述各得2分；共6分；</w:t>
      </w:r>
    </w:p>
    <w:p>
      <w:pPr>
        <w:numPr>
          <w:ilvl w:val="0"/>
          <w:numId w:val="6"/>
        </w:numPr>
        <w:snapToGrid w:val="0"/>
        <w:spacing w:line="360" w:lineRule="auto"/>
        <w:ind w:firstLine="480" w:firstLineChars="20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描述成都风力走势小得2分；</w:t>
      </w:r>
    </w:p>
    <w:p>
      <w:pPr>
        <w:numPr>
          <w:ilvl w:val="0"/>
          <w:numId w:val="6"/>
        </w:numPr>
        <w:snapToGrid w:val="0"/>
        <w:spacing w:line="360" w:lineRule="auto"/>
        <w:ind w:firstLine="480" w:firstLineChars="200"/>
        <w:rPr>
          <w:rFonts w:ascii="宋体" w:hAnsi="宋体" w:eastAsia="宋体" w:cs="仿宋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描述大连和青岛风力走势一致得2分；</w:t>
      </w:r>
    </w:p>
    <w:p>
      <w:pPr>
        <w:pStyle w:val="3"/>
        <w:ind w:firstLine="482"/>
        <w:rPr>
          <w:rFonts w:hint="eastAsia" w:ascii="宋体" w:hAnsi="宋体" w:eastAsia="宋体" w:cs="仿宋"/>
          <w:sz w:val="24"/>
          <w:szCs w:val="24"/>
          <w:lang w:eastAsia="zh-CN"/>
        </w:rPr>
      </w:pPr>
    </w:p>
    <w:p>
      <w:pPr>
        <w:pStyle w:val="3"/>
        <w:ind w:firstLine="482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职业素养</w:t>
      </w:r>
      <w:r>
        <w:rPr>
          <w:rFonts w:hint="eastAsia" w:ascii="宋体" w:hAnsi="宋体" w:eastAsia="宋体" w:cs="仿宋"/>
          <w:color w:val="FF0000"/>
          <w:sz w:val="24"/>
          <w:szCs w:val="24"/>
          <w:lang w:eastAsia="zh-CN"/>
        </w:rPr>
        <w:t>（5分）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仿宋"/>
          <w:sz w:val="24"/>
          <w:szCs w:val="24"/>
          <w:lang w:eastAsia="zh-CN"/>
        </w:rPr>
      </w:pPr>
      <w:r>
        <w:rPr>
          <w:rFonts w:hint="eastAsia" w:ascii="宋体" w:hAnsi="宋体" w:eastAsia="宋体" w:cs="仿宋"/>
          <w:sz w:val="24"/>
          <w:szCs w:val="24"/>
          <w:lang w:eastAsia="zh-CN"/>
        </w:rPr>
        <w:t>团队分工明确合理、操作规范、文明竞赛。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B3175"/>
    <w:multiLevelType w:val="singleLevel"/>
    <w:tmpl w:val="8DAB317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43E1EF"/>
    <w:multiLevelType w:val="singleLevel"/>
    <w:tmpl w:val="9743E1E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552AF7F"/>
    <w:multiLevelType w:val="singleLevel"/>
    <w:tmpl w:val="E552AF7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363C3"/>
    <w:multiLevelType w:val="singleLevel"/>
    <w:tmpl w:val="59C363C3"/>
    <w:lvl w:ilvl="0" w:tentative="0">
      <w:start w:val="1"/>
      <w:numFmt w:val="decimal"/>
      <w:lvlText w:val="(%1)"/>
      <w:lvlJc w:val="left"/>
      <w:pPr>
        <w:ind w:left="-40" w:hanging="425"/>
      </w:pPr>
      <w:rPr>
        <w:rFonts w:hint="default"/>
      </w:rPr>
    </w:lvl>
  </w:abstractNum>
  <w:abstractNum w:abstractNumId="4">
    <w:nsid w:val="5A7AA833"/>
    <w:multiLevelType w:val="singleLevel"/>
    <w:tmpl w:val="5A7AA833"/>
    <w:lvl w:ilvl="0" w:tentative="0">
      <w:start w:val="1"/>
      <w:numFmt w:val="decimal"/>
      <w:lvlText w:val="(%1)"/>
      <w:lvlJc w:val="left"/>
      <w:pPr>
        <w:ind w:left="1085" w:hanging="425"/>
      </w:pPr>
      <w:rPr>
        <w:rFonts w:hint="default"/>
      </w:rPr>
    </w:lvl>
  </w:abstractNum>
  <w:abstractNum w:abstractNumId="5">
    <w:nsid w:val="757C11B0"/>
    <w:multiLevelType w:val="singleLevel"/>
    <w:tmpl w:val="757C11B0"/>
    <w:lvl w:ilvl="0" w:tentative="0">
      <w:start w:val="1"/>
      <w:numFmt w:val="decimal"/>
      <w:lvlText w:val="(%1)"/>
      <w:lvlJc w:val="left"/>
      <w:pPr>
        <w:ind w:left="108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B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overflowPunct w:val="0"/>
      <w:topLinePunct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ascii="Times New Roman" w:hAnsi="Times New Roman" w:eastAsia="微软雅黑"/>
      <w:bCs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 w:val="0"/>
      <w:keepLines w:val="0"/>
      <w:spacing w:before="100" w:beforeLines="100" w:line="240" w:lineRule="auto"/>
      <w:ind w:firstLine="0" w:firstLineChars="0"/>
      <w:jc w:val="both"/>
      <w:outlineLvl w:val="1"/>
    </w:pPr>
    <w:rPr>
      <w:rFonts w:ascii="Times New Roman" w:hAnsi="Times New Roman" w:eastAsia="宋体"/>
      <w:b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autoSpaceDE/>
      <w:autoSpaceDN/>
      <w:spacing w:before="260" w:after="260"/>
      <w:jc w:val="both"/>
      <w:outlineLvl w:val="2"/>
    </w:pPr>
    <w:rPr>
      <w:rFonts w:asciiTheme="minorEastAsia" w:hAnsiTheme="minorEastAsia" w:eastAsiaTheme="minorEastAsia" w:cstheme="minorEastAsia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inorEastAsia" w:hAnsiTheme="minorEastAsia" w:eastAsiaTheme="minorEastAsia" w:cstheme="minorEastAsia"/>
      <w:b/>
      <w:bCs/>
      <w:sz w:val="28"/>
      <w:szCs w:val="28"/>
      <w:lang w:eastAsia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2024-05-19T16:01:06Z</dcterms:created>
  <dc:creator>Data</dc:creator>
  <cp:lastModifiedBy>Deja Vu</cp:lastModifiedBy>
  <dcterms:modified xsi:type="dcterms:W3CDTF">2024-05-19T16:01:17Z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96AB7560FBE48390CDB149660D8C95E8_42</vt:lpwstr>
  </property>
</Properties>
</file>