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Progression Analysis of Austin Reaves (2021–2025)</w:t>
      </w:r>
    </w:p>
    <w:p>
      <w:r>
        <w:t>This document contains dataset, analysis, visualizations, regression summary, and predictions for Austin Reaves.</w:t>
      </w:r>
    </w:p>
    <w:p>
      <w:pPr>
        <w:pStyle w:val="Heading2"/>
      </w:pPr>
      <w:r>
        <w:t>Dataset</w:t>
      </w:r>
    </w:p>
    <w:p>
      <w:r>
        <w:t>Columns: Season, PPG, RPG, APG, MPG, FG%, 3P%, FT%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Season</w:t>
            </w:r>
          </w:p>
        </w:tc>
        <w:tc>
          <w:tcPr>
            <w:tcW w:type="dxa" w:w="960"/>
          </w:tcPr>
          <w:p>
            <w:r>
              <w:t>SeasonIndex</w:t>
            </w:r>
          </w:p>
        </w:tc>
        <w:tc>
          <w:tcPr>
            <w:tcW w:type="dxa" w:w="960"/>
          </w:tcPr>
          <w:p>
            <w:r>
              <w:t>PPG</w:t>
            </w:r>
          </w:p>
        </w:tc>
        <w:tc>
          <w:tcPr>
            <w:tcW w:type="dxa" w:w="960"/>
          </w:tcPr>
          <w:p>
            <w:r>
              <w:t>RPG</w:t>
            </w:r>
          </w:p>
        </w:tc>
        <w:tc>
          <w:tcPr>
            <w:tcW w:type="dxa" w:w="960"/>
          </w:tcPr>
          <w:p>
            <w:r>
              <w:t>APG</w:t>
            </w:r>
          </w:p>
        </w:tc>
        <w:tc>
          <w:tcPr>
            <w:tcW w:type="dxa" w:w="960"/>
          </w:tcPr>
          <w:p>
            <w:r>
              <w:t>MPG</w:t>
            </w:r>
          </w:p>
        </w:tc>
        <w:tc>
          <w:tcPr>
            <w:tcW w:type="dxa" w:w="960"/>
          </w:tcPr>
          <w:p>
            <w:r>
              <w:t>FG%</w:t>
            </w:r>
          </w:p>
        </w:tc>
        <w:tc>
          <w:tcPr>
            <w:tcW w:type="dxa" w:w="960"/>
          </w:tcPr>
          <w:p>
            <w:r>
              <w:t>3P%</w:t>
            </w:r>
          </w:p>
        </w:tc>
        <w:tc>
          <w:tcPr>
            <w:tcW w:type="dxa" w:w="960"/>
          </w:tcPr>
          <w:p>
            <w:r>
              <w:t>FT%</w:t>
            </w:r>
          </w:p>
        </w:tc>
      </w:tr>
      <w:tr>
        <w:tc>
          <w:tcPr>
            <w:tcW w:type="dxa" w:w="960"/>
          </w:tcPr>
          <w:p>
            <w:r>
              <w:t>2021-22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3.2</w:t>
            </w:r>
          </w:p>
        </w:tc>
        <w:tc>
          <w:tcPr>
            <w:tcW w:type="dxa" w:w="960"/>
          </w:tcPr>
          <w:p>
            <w:r>
              <w:t>1.8</w:t>
            </w:r>
          </w:p>
        </w:tc>
        <w:tc>
          <w:tcPr>
            <w:tcW w:type="dxa" w:w="960"/>
          </w:tcPr>
          <w:p>
            <w:r>
              <w:t>23.2</w:t>
            </w:r>
          </w:p>
        </w:tc>
        <w:tc>
          <w:tcPr>
            <w:tcW w:type="dxa" w:w="960"/>
          </w:tcPr>
          <w:p>
            <w:r>
              <w:t>45.9</w:t>
            </w:r>
          </w:p>
        </w:tc>
        <w:tc>
          <w:tcPr>
            <w:tcW w:type="dxa" w:w="960"/>
          </w:tcPr>
          <w:p>
            <w:r>
              <w:t>31.7</w:t>
            </w:r>
          </w:p>
        </w:tc>
        <w:tc>
          <w:tcPr>
            <w:tcW w:type="dxa" w:w="960"/>
          </w:tcPr>
          <w:p>
            <w:r>
              <w:t>83.9</w:t>
            </w:r>
          </w:p>
        </w:tc>
      </w:tr>
      <w:tr>
        <w:tc>
          <w:tcPr>
            <w:tcW w:type="dxa" w:w="960"/>
          </w:tcPr>
          <w:p>
            <w:r>
              <w:t>2022-23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3.4</w:t>
            </w:r>
          </w:p>
        </w:tc>
        <w:tc>
          <w:tcPr>
            <w:tcW w:type="dxa" w:w="960"/>
          </w:tcPr>
          <w:p>
            <w:r>
              <w:t>28.8</w:t>
            </w:r>
          </w:p>
        </w:tc>
        <w:tc>
          <w:tcPr>
            <w:tcW w:type="dxa" w:w="960"/>
          </w:tcPr>
          <w:p>
            <w:r>
              <w:t>52.9</w:t>
            </w:r>
          </w:p>
        </w:tc>
        <w:tc>
          <w:tcPr>
            <w:tcW w:type="dxa" w:w="960"/>
          </w:tcPr>
          <w:p>
            <w:r>
              <w:t>39.8</w:t>
            </w:r>
          </w:p>
        </w:tc>
        <w:tc>
          <w:tcPr>
            <w:tcW w:type="dxa" w:w="960"/>
          </w:tcPr>
          <w:p>
            <w:r>
              <w:t>86.4</w:t>
            </w:r>
          </w:p>
        </w:tc>
      </w:tr>
      <w:tr>
        <w:tc>
          <w:tcPr>
            <w:tcW w:type="dxa" w:w="960"/>
          </w:tcPr>
          <w:p>
            <w:r>
              <w:t>2023-24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15.9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5.5</w:t>
            </w:r>
          </w:p>
        </w:tc>
        <w:tc>
          <w:tcPr>
            <w:tcW w:type="dxa" w:w="960"/>
          </w:tcPr>
          <w:p>
            <w:r>
              <w:t>32.1</w:t>
            </w:r>
          </w:p>
        </w:tc>
        <w:tc>
          <w:tcPr>
            <w:tcW w:type="dxa" w:w="960"/>
          </w:tcPr>
          <w:p>
            <w:r>
              <w:t>48.6</w:t>
            </w:r>
          </w:p>
        </w:tc>
        <w:tc>
          <w:tcPr>
            <w:tcW w:type="dxa" w:w="960"/>
          </w:tcPr>
          <w:p>
            <w:r>
              <w:t>36.7</w:t>
            </w:r>
          </w:p>
        </w:tc>
        <w:tc>
          <w:tcPr>
            <w:tcW w:type="dxa" w:w="960"/>
          </w:tcPr>
          <w:p>
            <w:r>
              <w:t>85.3</w:t>
            </w:r>
          </w:p>
        </w:tc>
      </w:tr>
      <w:tr>
        <w:tc>
          <w:tcPr>
            <w:tcW w:type="dxa" w:w="960"/>
          </w:tcPr>
          <w:p>
            <w:r>
              <w:t>2024-25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20.2</w:t>
            </w:r>
          </w:p>
        </w:tc>
        <w:tc>
          <w:tcPr>
            <w:tcW w:type="dxa" w:w="960"/>
          </w:tcPr>
          <w:p>
            <w:r>
              <w:t>4.5</w:t>
            </w:r>
          </w:p>
        </w:tc>
        <w:tc>
          <w:tcPr>
            <w:tcW w:type="dxa" w:w="960"/>
          </w:tcPr>
          <w:p>
            <w:r>
              <w:t>5.8</w:t>
            </w:r>
          </w:p>
        </w:tc>
        <w:tc>
          <w:tcPr>
            <w:tcW w:type="dxa" w:w="960"/>
          </w:tcPr>
          <w:p>
            <w:r>
              <w:t>34.9</w:t>
            </w:r>
          </w:p>
        </w:tc>
        <w:tc>
          <w:tcPr>
            <w:tcW w:type="dxa" w:w="960"/>
          </w:tcPr>
          <w:p>
            <w:r>
              <w:t>46.0</w:t>
            </w:r>
          </w:p>
        </w:tc>
        <w:tc>
          <w:tcPr>
            <w:tcW w:type="dxa" w:w="960"/>
          </w:tcPr>
          <w:p>
            <w:r>
              <w:t>37.7</w:t>
            </w:r>
          </w:p>
        </w:tc>
        <w:tc>
          <w:tcPr>
            <w:tcW w:type="dxa" w:w="960"/>
          </w:tcPr>
          <w:p>
            <w:r>
              <w:t>87.7</w:t>
            </w:r>
          </w:p>
        </w:tc>
      </w:tr>
    </w:tbl>
    <w:p>
      <w:pPr>
        <w:pStyle w:val="Heading2"/>
      </w:pPr>
      <w:r>
        <w:t>Key Visualizations</w:t>
      </w:r>
    </w:p>
    <w:p>
      <w:r>
        <w:t>PPG Trend:</w:t>
      </w:r>
    </w:p>
    <w:p>
      <w:r>
        <w:drawing>
          <wp:inline xmlns:a="http://schemas.openxmlformats.org/drawingml/2006/main" xmlns:pic="http://schemas.openxmlformats.org/drawingml/2006/picture">
            <wp:extent cx="5486400" cy="3130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g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MPG vs PPG Scatter (with fit):</w:t>
      </w:r>
    </w:p>
    <w:p>
      <w:r>
        <w:drawing>
          <wp:inline xmlns:a="http://schemas.openxmlformats.org/drawingml/2006/main" xmlns:pic="http://schemas.openxmlformats.org/drawingml/2006/picture">
            <wp:extent cx="5486400" cy="4873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g_vs_pp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 Heatmap:</w:t>
      </w:r>
    </w:p>
    <w:p>
      <w:r>
        <w:drawing>
          <wp:inline xmlns:a="http://schemas.openxmlformats.org/drawingml/2006/main" xmlns:pic="http://schemas.openxmlformats.org/drawingml/2006/picture">
            <wp:extent cx="5486400" cy="5097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Regression Summary (PPG ~ MPG + APG)</w:t>
      </w:r>
    </w:p>
    <w:p>
      <w:r>
        <w:t>The regression summary is saved as a text file in the project folder. Key takeaways:</w:t>
      </w:r>
    </w:p>
    <w:p>
      <w:r>
        <w:t>- The model suggests that Minutes per Game (MPG) and Assists per Game (APG) both positively relate to PPG.</w:t>
        <w:br/>
        <w:t>- With limited data points (4 seasons), statistical power is low; interpret results cautiously.</w:t>
        <w:br/>
      </w:r>
    </w:p>
    <w:p>
      <w:pPr>
        <w:pStyle w:val="Heading2"/>
      </w:pPr>
      <w:r>
        <w:t>Predictions for 2025-26 (Simple season-trend linear model)</w:t>
      </w:r>
    </w:p>
    <w:p>
      <w:r>
        <w:t>PPG: 24.5</w:t>
      </w:r>
    </w:p>
    <w:p>
      <w:r>
        <w:t>MPG: 39.35</w:t>
      </w:r>
    </w:p>
    <w:p>
      <w:r>
        <w:t>APG: 7.65</w:t>
      </w:r>
    </w:p>
    <w:p>
      <w:r>
        <w:t>RPG: 5.05</w:t>
      </w:r>
    </w:p>
    <w:p>
      <w:r>
        <w:t>FG%: 47.35</w:t>
      </w:r>
    </w:p>
    <w:p>
      <w:r>
        <w:t>3P%: 40.2</w:t>
      </w:r>
    </w:p>
    <w:p>
      <w:r>
        <w:t>FT%: 88.4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