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40"/>
          <w:szCs w:val="40"/>
          <w:b/>
        </w:rPr>
        <w:t xml:space="preserve">                       Aylık Rapor Belgesi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Style w:val="Veysel Akpınar Table"/>
      </w:tblPr>
      <w:tr>
        <w:trPr>
          <w:trHeight w:val="5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İsim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Soy isim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Kayıt Zamanı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Tarih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Cell 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Cell 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Cell 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Cell 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Cell 4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Veysel Akpınar Table">
    <w:name w:val="Veysel Akpınar 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2" w:color="d2d2d2"/>
        <w:left w:val="single" w:sz="2" w:color="d2d2d2"/>
        <w:right w:val="single" w:sz="2" w:color="d2d2d2"/>
        <w:bottom w:val="single" w:sz="2" w:color="d2d2d2"/>
        <w:insideH w:val="single" w:sz="2" w:color="d2d2d2"/>
        <w:insideV w:val="single" w:sz="2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2018-05-15T15:07:57+00:00</dcterms:created>
  <dcterms:modified xsi:type="dcterms:W3CDTF">2018-05-15T15:07:57+00:00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