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GloblexAI Office ERP</w:t>
      </w:r>
    </w:p>
    <w:p>
      <w:r>
        <w:rPr>
          <w:b/>
        </w:rPr>
        <w:t>Stress Test and Quality Report, with MVP and Integration Readiness</w:t>
      </w:r>
    </w:p>
    <w:p>
      <w:r>
        <w:rPr>
          <w:b w:val="0"/>
        </w:rPr>
        <w:t>Date: 9 October 2026   |   Build: draft PR #61 (branch qa-stress-quality)   |   Environment: local Postgres 16, production build, never run against production</w:t>
      </w:r>
    </w:p>
    <w:p>
      <w:pPr>
        <w:pStyle w:val="Heading1"/>
      </w:pPr>
      <w:r>
        <w:t>1. Summary</w:t>
      </w:r>
    </w:p>
    <w:p>
      <w:pPr>
        <w:pStyle w:val="ListBullet"/>
      </w:pPr>
      <w:r>
        <w:t>Entry compliance suite: 93 of 202 checks passed before fixes; 232 of 232 pass after (the suite grew by 30 checks for payment links, schedules, documents and paging).</w:t>
      </w:r>
    </w:p>
    <w:p>
      <w:pPr>
        <w:pStyle w:val="ListBullet"/>
      </w:pPr>
      <w:r>
        <w:t>Concurrency: 25 simultaneous invoice saves previously froze the app; now all succeed in about 2 seconds with 25 distinct numbers. Simultaneous payments can no longer over-apply a balance.</w:t>
      </w:r>
    </w:p>
    <w:p>
      <w:pPr>
        <w:pStyle w:val="ListBullet"/>
      </w:pPr>
      <w:r>
        <w:t>Speed: with 24,026 invoices, 9,004 bills and 3,004 shipments loaded, all 26 tabs open in under 0.6 s (worst case before: 12.2 s and 90 MB).</w:t>
      </w:r>
    </w:p>
    <w:p>
      <w:pPr>
        <w:pStyle w:val="ListBullet"/>
      </w:pPr>
      <w:r>
        <w:t>Verdict: ready for a controlled pilot with real data on the current feature set. It is not yet a full MVP for unattended use or for connecting live systems; Section 6 lists exactly what is missing.</w:t>
      </w:r>
    </w:p>
    <w:p>
      <w:r>
        <w:rPr>
          <w:b w:val="0"/>
        </w:rPr>
        <w:t>Nothing here proves 100% compliance. The results show the checks listed in this report pass; they do not cover every possible input.</w:t>
      </w:r>
    </w:p>
    <w:p>
      <w:pPr>
        <w:pStyle w:val="Heading1"/>
      </w:pPr>
      <w:r>
        <w:t>2. How it was tested</w:t>
      </w:r>
    </w:p>
    <w:p>
      <w:pPr>
        <w:pStyle w:val="ListBullet"/>
      </w:pPr>
      <w:r>
        <w:t>Scripted HTTP suite (npm run qa:entries) that signs in and exercises every create/edit route with valid, invalid, malformed, oversized and hostile input. It refuses to run against a non-local address.</w:t>
      </w:r>
    </w:p>
    <w:p>
      <w:pPr>
        <w:pStyle w:val="ListBullet"/>
      </w:pPr>
      <w:r>
        <w:t>Pass rule: bad input gets a 4xx with a plain message and no SQL, table names or stack traces; good input is stored exactly; numbering is unique; money cannot be over-applied; the books balance.</w:t>
      </w:r>
    </w:p>
    <w:p>
      <w:pPr>
        <w:pStyle w:val="ListBullet"/>
      </w:pPr>
      <w:r>
        <w:t>Large-volume timing of every dashboard tab (cold and warm) with the seeded ledger.</w:t>
      </w:r>
    </w:p>
    <w:p>
      <w:pPr>
        <w:pStyle w:val="ListBullet"/>
      </w:pPr>
      <w:r>
        <w:t>Browser check (Playwright/Chromium) of Load more on seven tabs and the Payments overdue list; no console errors.</w:t>
      </w:r>
    </w:p>
    <w:p>
      <w:pPr>
        <w:pStyle w:val="ListBullet"/>
      </w:pPr>
      <w:r>
        <w:t>Existing rule tests for the order desk and the agents also pass; type check, lint and navigation check are clean.</w:t>
      </w:r>
    </w:p>
    <w:p>
      <w:pPr>
        <w:pStyle w:val="Heading1"/>
      </w:pPr>
      <w:r>
        <w:t>3. Entry compliance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4680"/>
          </w:tcPr>
          <w:p>
            <w:r>
              <w:t>Access control (27 routes)</w:t>
            </w:r>
          </w:p>
        </w:tc>
        <w:tc>
          <w:tcPr>
            <w:tcW w:type="dxa" w:w="4680"/>
          </w:tcPr>
          <w:p>
            <w:r>
              <w:t>27/27</w:t>
            </w:r>
          </w:p>
        </w:tc>
      </w:tr>
      <w:tr>
        <w:tc>
          <w:tcPr>
            <w:tcW w:type="dxa" w:w="4680"/>
          </w:tcPr>
          <w:p>
            <w:r>
              <w:t>Malformed requests</w:t>
            </w:r>
          </w:p>
        </w:tc>
        <w:tc>
          <w:tcPr>
            <w:tcW w:type="dxa" w:w="4680"/>
          </w:tcPr>
          <w:p>
            <w:r>
              <w:t>48/48</w:t>
            </w:r>
          </w:p>
        </w:tc>
      </w:tr>
      <w:tr>
        <w:tc>
          <w:tcPr>
            <w:tcW w:type="dxa" w:w="4680"/>
          </w:tcPr>
          <w:p>
            <w:r>
              <w:t>Customers, vendors</w:t>
            </w:r>
          </w:p>
        </w:tc>
        <w:tc>
          <w:tcPr>
            <w:tcW w:type="dxa" w:w="4680"/>
          </w:tcPr>
          <w:p>
            <w:r>
              <w:t>16/16</w:t>
            </w:r>
          </w:p>
        </w:tc>
      </w:tr>
      <w:tr>
        <w:tc>
          <w:tcPr>
            <w:tcW w:type="dxa" w:w="4680"/>
          </w:tcPr>
          <w:p>
            <w:r>
              <w:t>Products and chart of accounts</w:t>
            </w:r>
          </w:p>
        </w:tc>
        <w:tc>
          <w:tcPr>
            <w:tcW w:type="dxa" w:w="4680"/>
          </w:tcPr>
          <w:p>
            <w:r>
              <w:t>10/10</w:t>
            </w:r>
          </w:p>
        </w:tc>
      </w:tr>
      <w:tr>
        <w:tc>
          <w:tcPr>
            <w:tcW w:type="dxa" w:w="4680"/>
          </w:tcPr>
          <w:p>
            <w:r>
              <w:t>Invoices, numbering, payments</w:t>
            </w:r>
          </w:p>
        </w:tc>
        <w:tc>
          <w:tcPr>
            <w:tcW w:type="dxa" w:w="4680"/>
          </w:tcPr>
          <w:p>
            <w:r>
              <w:t>36/36</w:t>
            </w:r>
          </w:p>
        </w:tc>
      </w:tr>
      <w:tr>
        <w:tc>
          <w:tcPr>
            <w:tcW w:type="dxa" w:w="4680"/>
          </w:tcPr>
          <w:p>
            <w:r>
              <w:t>Bills</w:t>
            </w:r>
          </w:p>
        </w:tc>
        <w:tc>
          <w:tcPr>
            <w:tcW w:type="dxa" w:w="4680"/>
          </w:tcPr>
          <w:p>
            <w:r>
              <w:t>16/16</w:t>
            </w:r>
          </w:p>
        </w:tc>
      </w:tr>
      <w:tr>
        <w:tc>
          <w:tcPr>
            <w:tcW w:type="dxa" w:w="4680"/>
          </w:tcPr>
          <w:p>
            <w:r>
              <w:t>Estimates and expenses</w:t>
            </w:r>
          </w:p>
        </w:tc>
        <w:tc>
          <w:tcPr>
            <w:tcW w:type="dxa" w:w="4680"/>
          </w:tcPr>
          <w:p>
            <w:r>
              <w:t>10/10</w:t>
            </w:r>
          </w:p>
        </w:tc>
      </w:tr>
      <w:tr>
        <w:tc>
          <w:tcPr>
            <w:tcW w:type="dxa" w:w="4680"/>
          </w:tcPr>
          <w:p>
            <w:r>
              <w:t>Journal entries</w:t>
            </w:r>
          </w:p>
        </w:tc>
        <w:tc>
          <w:tcPr>
            <w:tcW w:type="dxa" w:w="4680"/>
          </w:tcPr>
          <w:p>
            <w:r>
              <w:t>14/14</w:t>
            </w:r>
          </w:p>
        </w:tc>
      </w:tr>
      <w:tr>
        <w:tc>
          <w:tcPr>
            <w:tcW w:type="dxa" w:w="4680"/>
          </w:tcPr>
          <w:p>
            <w:r>
              <w:t>Transfers</w:t>
            </w:r>
          </w:p>
        </w:tc>
        <w:tc>
          <w:tcPr>
            <w:tcW w:type="dxa" w:w="4680"/>
          </w:tcPr>
          <w:p>
            <w:r>
              <w:t>9/9</w:t>
            </w:r>
          </w:p>
        </w:tc>
      </w:tr>
      <w:tr>
        <w:tc>
          <w:tcPr>
            <w:tcW w:type="dxa" w:w="4680"/>
          </w:tcPr>
          <w:p>
            <w:r>
              <w:t>Payroll employees</w:t>
            </w:r>
          </w:p>
        </w:tc>
        <w:tc>
          <w:tcPr>
            <w:tcW w:type="dxa" w:w="4680"/>
          </w:tcPr>
          <w:p>
            <w:r>
              <w:t>7/7</w:t>
            </w:r>
          </w:p>
        </w:tc>
      </w:tr>
      <w:tr>
        <w:tc>
          <w:tcPr>
            <w:tcW w:type="dxa" w:w="4680"/>
          </w:tcPr>
          <w:p>
            <w:r>
              <w:t>Shipments and order desk</w:t>
            </w:r>
          </w:p>
        </w:tc>
        <w:tc>
          <w:tcPr>
            <w:tcW w:type="dxa" w:w="4680"/>
          </w:tcPr>
          <w:p>
            <w:r>
              <w:t>7/7</w:t>
            </w:r>
          </w:p>
        </w:tc>
      </w:tr>
      <w:tr>
        <w:tc>
          <w:tcPr>
            <w:tcW w:type="dxa" w:w="4680"/>
          </w:tcPr>
          <w:p>
            <w:r>
              <w:t>Payment links, recurring, documents</w:t>
            </w:r>
          </w:p>
        </w:tc>
        <w:tc>
          <w:tcPr>
            <w:tcW w:type="dxa" w:w="4680"/>
          </w:tcPr>
          <w:p>
            <w:r>
              <w:t>26/26</w:t>
            </w:r>
          </w:p>
        </w:tc>
      </w:tr>
      <w:tr>
        <w:tc>
          <w:tcPr>
            <w:tcW w:type="dxa" w:w="4680"/>
          </w:tcPr>
          <w:p>
            <w:r>
              <w:t>Paging</w:t>
            </w:r>
          </w:p>
        </w:tc>
        <w:tc>
          <w:tcPr>
            <w:tcW w:type="dxa" w:w="4680"/>
          </w:tcPr>
          <w:p>
            <w:r>
              <w:t>4/4</w:t>
            </w:r>
          </w:p>
        </w:tc>
      </w:tr>
      <w:tr>
        <w:tc>
          <w:tcPr>
            <w:tcW w:type="dxa" w:w="4680"/>
          </w:tcPr>
          <w:p>
            <w:r>
              <w:t>Cross-checks</w:t>
            </w:r>
          </w:p>
        </w:tc>
        <w:tc>
          <w:tcPr>
            <w:tcW w:type="dxa" w:w="4680"/>
          </w:tcPr>
          <w:p>
            <w:r>
              <w:t>2/2</w:t>
            </w:r>
          </w:p>
        </w:tc>
      </w:tr>
    </w:tbl>
    <w:p/>
    <w:p>
      <w:pPr>
        <w:pStyle w:val="Heading2"/>
      </w:pPr>
      <w:r>
        <w:t>Defects found and fixed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Defect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3120"/>
          </w:tcPr>
          <w:p>
            <w:r>
              <w:t>App freeze under simultaneous saves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Reads moved inside the saving transaction (pool exhaustion removed)</w:t>
            </w:r>
          </w:p>
        </w:tc>
      </w:tr>
      <w:tr>
        <w:tc>
          <w:tcPr>
            <w:tcW w:type="dxa" w:w="3120"/>
          </w:tcPr>
          <w:p>
            <w:r>
              <w:t>Duplicate or reused document numbers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Max+1 numbering under a database lock; deleted numbers never reused</w:t>
            </w:r>
          </w:p>
        </w:tc>
      </w:tr>
      <w:tr>
        <w:tc>
          <w:tcPr>
            <w:tcW w:type="dxa" w:w="3120"/>
          </w:tcPr>
          <w:p>
            <w:r>
              <w:t>Payments over-applied by simultaneous requests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Row lock plus balance check</w:t>
            </w:r>
          </w:p>
        </w:tc>
      </w:tr>
      <w:tr>
        <w:tc>
          <w:tcPr>
            <w:tcW w:type="dxa" w:w="3120"/>
          </w:tcPr>
          <w:p>
            <w:r>
              <w:t>Raw database errors returned to users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Central error mapping; clean 400/404/409; generic 500 with server-side log</w:t>
            </w:r>
          </w:p>
        </w:tc>
      </w:tr>
      <w:tr>
        <w:tc>
          <w:tcPr>
            <w:tcW w:type="dxa" w:w="3120"/>
          </w:tcPr>
          <w:p>
            <w:r>
              <w:t>No validation on amounts, dates, ids, emails, lengths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Validation on every entry form, including referenced records existing and being active</w:t>
            </w:r>
          </w:p>
        </w:tc>
      </w:tr>
      <w:tr>
        <w:tc>
          <w:tcPr>
            <w:tcW w:type="dxa" w:w="3120"/>
          </w:tcPr>
          <w:p>
            <w:r>
              <w:t>Journal entries could be unbalanced after rounding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Balanced in whole cents as stored; one debit and one credit minimum; audit row in same transaction</w:t>
            </w:r>
          </w:p>
        </w:tc>
      </w:tr>
      <w:tr>
        <w:tc>
          <w:tcPr>
            <w:tcW w:type="dxa" w:w="3120"/>
          </w:tcPr>
          <w:p>
            <w:r>
              <w:t>Overlapping recurring runs created duplicates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Compare-and-set claim; failed email no longer re-creates the document</w:t>
            </w:r>
          </w:p>
        </w:tc>
      </w:tr>
      <w:tr>
        <w:tc>
          <w:tcPr>
            <w:tcW w:type="dxa" w:w="3120"/>
          </w:tcPr>
          <w:p>
            <w:r>
              <w:t>Names on payment links and schedules trusted from client</w:t>
            </w:r>
          </w:p>
        </w:tc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Taken from the customer record</w:t>
            </w:r>
          </w:p>
        </w:tc>
      </w:tr>
      <w:tr>
        <w:tc>
          <w:tcPr>
            <w:tcW w:type="dxa" w:w="3120"/>
          </w:tcPr>
          <w:p>
            <w:r>
              <w:t>User text unescaped in estimate/invoice emails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HTML escaped</w:t>
            </w:r>
          </w:p>
        </w:tc>
      </w:tr>
      <w:tr>
        <w:tc>
          <w:tcPr>
            <w:tcW w:type="dxa" w:w="3120"/>
          </w:tcPr>
          <w:p>
            <w:r>
              <w:t>Bills payable without approval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Approval required before payment</w:t>
            </w:r>
          </w:p>
        </w:tc>
      </w:tr>
      <w:tr>
        <w:tc>
          <w:tcPr>
            <w:tcW w:type="dxa" w:w="3120"/>
          </w:tcPr>
          <w:p>
            <w:r>
              <w:t>Document upload accepted any content</w:t>
            </w:r>
          </w:p>
        </w:tc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Base64 and size checks; 4 MB limit kept</w:t>
            </w:r>
          </w:p>
        </w:tc>
      </w:tr>
    </w:tbl>
    <w:p/>
    <w:p>
      <w:pPr>
        <w:pStyle w:val="Heading1"/>
      </w:pPr>
      <w:r>
        <w:t>4. Performance results (first load, large seeded ledger)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Before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After</w:t>
            </w:r>
          </w:p>
        </w:tc>
      </w:tr>
      <w:tr>
        <w:tc>
          <w:tcPr>
            <w:tcW w:type="dxa" w:w="3120"/>
          </w:tcPr>
          <w:p>
            <w:r>
              <w:t>Invoices</w:t>
            </w:r>
          </w:p>
        </w:tc>
        <w:tc>
          <w:tcPr>
            <w:tcW w:type="dxa" w:w="3120"/>
          </w:tcPr>
          <w:p>
            <w:r>
              <w:t>12.2 s / 90 MB</w:t>
            </w:r>
          </w:p>
        </w:tc>
        <w:tc>
          <w:tcPr>
            <w:tcW w:type="dxa" w:w="3120"/>
          </w:tcPr>
          <w:p>
            <w:r>
              <w:t>0.11 s / 1.0 MB</w:t>
            </w:r>
          </w:p>
        </w:tc>
      </w:tr>
      <w:tr>
        <w:tc>
          <w:tcPr>
            <w:tcW w:type="dxa" w:w="3120"/>
          </w:tcPr>
          <w:p>
            <w:r>
              <w:t>Payments</w:t>
            </w:r>
          </w:p>
        </w:tc>
        <w:tc>
          <w:tcPr>
            <w:tcW w:type="dxa" w:w="3120"/>
          </w:tcPr>
          <w:p>
            <w:r>
              <w:t>5.4 s / 24 MB</w:t>
            </w:r>
          </w:p>
        </w:tc>
        <w:tc>
          <w:tcPr>
            <w:tcW w:type="dxa" w:w="3120"/>
          </w:tcPr>
          <w:p>
            <w:r>
              <w:t>0.58 s / 0.6 MB</w:t>
            </w:r>
          </w:p>
        </w:tc>
      </w:tr>
      <w:tr>
        <w:tc>
          <w:tcPr>
            <w:tcW w:type="dxa" w:w="3120"/>
          </w:tcPr>
          <w:p>
            <w:r>
              <w:t>A/R &amp; A/P aging</w:t>
            </w:r>
          </w:p>
        </w:tc>
        <w:tc>
          <w:tcPr>
            <w:tcW w:type="dxa" w:w="3120"/>
          </w:tcPr>
          <w:p>
            <w:r>
              <w:t>1.6 s</w:t>
            </w:r>
          </w:p>
        </w:tc>
        <w:tc>
          <w:tcPr>
            <w:tcW w:type="dxa" w:w="3120"/>
          </w:tcPr>
          <w:p>
            <w:r>
              <w:t>0.33 s</w:t>
            </w:r>
          </w:p>
        </w:tc>
      </w:tr>
      <w:tr>
        <w:tc>
          <w:tcPr>
            <w:tcW w:type="dxa" w:w="3120"/>
          </w:tcPr>
          <w:p>
            <w:r>
              <w:t>Operations board</w:t>
            </w:r>
          </w:p>
        </w:tc>
        <w:tc>
          <w:tcPr>
            <w:tcW w:type="dxa" w:w="3120"/>
          </w:tcPr>
          <w:p>
            <w:r>
              <w:t>1.7 s / 3.2 MB</w:t>
            </w:r>
          </w:p>
        </w:tc>
        <w:tc>
          <w:tcPr>
            <w:tcW w:type="dxa" w:w="3120"/>
          </w:tcPr>
          <w:p>
            <w:r>
              <w:t>0.19 s / 69 KB</w:t>
            </w:r>
          </w:p>
        </w:tc>
      </w:tr>
      <w:tr>
        <w:tc>
          <w:tcPr>
            <w:tcW w:type="dxa" w:w="3120"/>
          </w:tcPr>
          <w:p>
            <w:r>
              <w:t>Shipments</w:t>
            </w:r>
          </w:p>
        </w:tc>
        <w:tc>
          <w:tcPr>
            <w:tcW w:type="dxa" w:w="3120"/>
          </w:tcPr>
          <w:p>
            <w:r>
              <w:t>0.95 s / 7 MB</w:t>
            </w:r>
          </w:p>
        </w:tc>
        <w:tc>
          <w:tcPr>
            <w:tcW w:type="dxa" w:w="3120"/>
          </w:tcPr>
          <w:p>
            <w:r>
              <w:t>0.06 s / 0.3 MB</w:t>
            </w:r>
          </w:p>
        </w:tc>
      </w:tr>
      <w:tr>
        <w:tc>
          <w:tcPr>
            <w:tcW w:type="dxa" w:w="3120"/>
          </w:tcPr>
          <w:p>
            <w:r>
              <w:t>Sales breakdown</w:t>
            </w:r>
          </w:p>
        </w:tc>
        <w:tc>
          <w:tcPr>
            <w:tcW w:type="dxa" w:w="3120"/>
          </w:tcPr>
          <w:p>
            <w:r>
              <w:t>0.9 s</w:t>
            </w:r>
          </w:p>
        </w:tc>
        <w:tc>
          <w:tcPr>
            <w:tcW w:type="dxa" w:w="3120"/>
          </w:tcPr>
          <w:p>
            <w:r>
              <w:t>0.04 s</w:t>
            </w:r>
          </w:p>
        </w:tc>
      </w:tr>
      <w:tr>
        <w:tc>
          <w:tcPr>
            <w:tcW w:type="dxa" w:w="3120"/>
          </w:tcPr>
          <w:p>
            <w:r>
              <w:t>Transfers</w:t>
            </w:r>
          </w:p>
        </w:tc>
        <w:tc>
          <w:tcPr>
            <w:tcW w:type="dxa" w:w="3120"/>
          </w:tcPr>
          <w:p>
            <w:r>
              <w:t>0.29 s / 2.1 MB</w:t>
            </w:r>
          </w:p>
        </w:tc>
        <w:tc>
          <w:tcPr>
            <w:tcW w:type="dxa" w:w="3120"/>
          </w:tcPr>
          <w:p>
            <w:r>
              <w:t>0.03 s / 0.2 MB</w:t>
            </w:r>
          </w:p>
        </w:tc>
      </w:tr>
      <w:tr>
        <w:tc>
          <w:tcPr>
            <w:tcW w:type="dxa" w:w="3120"/>
          </w:tcPr>
          <w:p>
            <w:r>
              <w:t>Anomaly detection</w:t>
            </w:r>
          </w:p>
        </w:tc>
        <w:tc>
          <w:tcPr>
            <w:tcW w:type="dxa" w:w="3120"/>
          </w:tcPr>
          <w:p>
            <w:r>
              <w:t>0.38 s</w:t>
            </w:r>
          </w:p>
        </w:tc>
        <w:tc>
          <w:tcPr>
            <w:tcW w:type="dxa" w:w="3120"/>
          </w:tcPr>
          <w:p>
            <w:r>
              <w:t>0.39 s (unchanged)</w:t>
            </w:r>
          </w:p>
        </w:tc>
      </w:tr>
      <w:tr>
        <w:tc>
          <w:tcPr>
            <w:tcW w:type="dxa" w:w="3120"/>
          </w:tcPr>
          <w:p>
            <w:r>
              <w:t>Guide</w:t>
            </w:r>
          </w:p>
        </w:tc>
        <w:tc>
          <w:tcPr>
            <w:tcW w:type="dxa" w:w="3120"/>
          </w:tcPr>
          <w:p>
            <w:r>
              <w:t>0.36 s</w:t>
            </w:r>
          </w:p>
        </w:tc>
        <w:tc>
          <w:tcPr>
            <w:tcW w:type="dxa" w:w="3120"/>
          </w:tcPr>
          <w:p>
            <w:r>
              <w:t>0.36 s (unchanged)</w:t>
            </w:r>
          </w:p>
        </w:tc>
      </w:tr>
    </w:tbl>
    <w:p/>
    <w:p>
      <w:r>
        <w:rPr>
          <w:b w:val="0"/>
        </w:rPr>
        <w:t>What changed: long lists open on their newest 100 rows with a Load more button; reports, agent context and the desk credit check add up in SQL instead of loading every document; indexes were added (migration 0011). Remaining larger pages (Products, Estimates, Invoices around 0.4 to 1 MB) are mostly the customer and product pick-lists; acceptable now, worth trimming later.</w:t>
      </w:r>
    </w:p>
    <w:p>
      <w:r>
        <w:rPr>
          <w:b w:val="0"/>
        </w:rPr>
        <w:t>Caveat: these timings are on a local database with no network latency. On Netlify with a hosted database, expect each query to cost more; the reduced query count and payload size should help proportionally, but re-measure after deployment.</w:t>
      </w:r>
    </w:p>
    <w:p>
      <w:pPr>
        <w:pStyle w:val="Heading1"/>
      </w:pPr>
      <w:r>
        <w:t>5. Open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Rating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3120"/>
          </w:tcPr>
          <w:p>
            <w:r>
              <w:t>CRON_SECRET not set: /api/recurring/run-due is reachable without sign-in and unauthenticated when the secret is unset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Set CRON_SECRET in Netlify and as the GitHub secret the daily job uses</w:t>
            </w:r>
          </w:p>
        </w:tc>
      </w:tr>
      <w:tr>
        <w:tc>
          <w:tcPr>
            <w:tcW w:type="dxa" w:w="3120"/>
          </w:tcPr>
          <w:p>
            <w:r>
              <w:t>Migration 0011 not yet applied to production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  <w:tc>
          <w:tcPr>
            <w:tcW w:type="dxa" w:w="3120"/>
          </w:tcPr>
          <w:p>
            <w:r>
              <w:t>Merge PR #61, then run the Run database migrations workflow</w:t>
            </w:r>
          </w:p>
        </w:tc>
      </w:tr>
      <w:tr>
        <w:tc>
          <w:tcPr>
            <w:tcW w:type="dxa" w:w="3120"/>
          </w:tcPr>
          <w:p>
            <w:r>
              <w:t>Invoices and bills are not double-entry posted to A/R and A/P; invoice lines without a product do not post to revenue</w:t>
            </w:r>
          </w:p>
        </w:tc>
        <w:tc>
          <w:tcPr>
            <w:tcW w:type="dxa" w:w="3120"/>
          </w:tcPr>
          <w:p>
            <w:r>
              <w:t>Design limit</w:t>
            </w:r>
          </w:p>
        </w:tc>
        <w:tc>
          <w:tcPr>
            <w:tcW w:type="dxa" w:w="3120"/>
          </w:tcPr>
          <w:p>
            <w:r>
              <w:t>Decide ledger model before relying on the Chart of Accounts for statutory reporting</w:t>
            </w:r>
          </w:p>
        </w:tc>
      </w:tr>
      <w:tr>
        <w:tc>
          <w:tcPr>
            <w:tcW w:type="dxa" w:w="3120"/>
          </w:tcPr>
          <w:p>
            <w:r>
              <w:t>Single shared passphrase: audit log cannot record who made a change</w:t>
            </w:r>
          </w:p>
        </w:tc>
        <w:tc>
          <w:tcPr>
            <w:tcW w:type="dxa" w:w="3120"/>
          </w:tcPr>
          <w:p>
            <w:r>
              <w:t>Design limit</w:t>
            </w:r>
          </w:p>
        </w:tc>
        <w:tc>
          <w:tcPr>
            <w:tcW w:type="dxa" w:w="3120"/>
          </w:tcPr>
          <w:p>
            <w:r>
              <w:t>Individual user accounts and roles</w:t>
            </w:r>
          </w:p>
        </w:tc>
      </w:tr>
      <w:tr>
        <w:tc>
          <w:tcPr>
            <w:tcW w:type="dxa" w:w="3120"/>
          </w:tcPr>
          <w:p>
            <w:r>
              <w:t>Login rate limit is in-memory, so it resets per serverless instance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Move to a shared store</w:t>
            </w:r>
          </w:p>
        </w:tc>
      </w:tr>
      <w:tr>
        <w:tc>
          <w:tcPr>
            <w:tcW w:type="dxa" w:w="3120"/>
          </w:tcPr>
          <w:p>
            <w:r>
              <w:t>No automated tests in CI beyond build, lint, type check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Run qa:entries against a throwaway database in CI</w:t>
            </w:r>
          </w:p>
        </w:tc>
      </w:tr>
      <w:tr>
        <w:tc>
          <w:tcPr>
            <w:tcW w:type="dxa" w:w="3120"/>
          </w:tcPr>
          <w:p>
            <w:r>
              <w:t>Unique indexes on document numbers are skipped if duplicates already exist</w:t>
            </w:r>
          </w:p>
        </w:tc>
        <w:tc>
          <w:tcPr>
            <w:tcW w:type="dxa" w:w="3120"/>
          </w:tcPr>
          <w:p>
            <w:r>
              <w:t>Info</w:t>
            </w:r>
          </w:p>
        </w:tc>
        <w:tc>
          <w:tcPr>
            <w:tcW w:type="dxa" w:w="3120"/>
          </w:tcPr>
          <w:p>
            <w:r>
              <w:t>Check the migration output for NOTICE lines</w:t>
            </w:r>
          </w:p>
        </w:tc>
      </w:tr>
    </w:tbl>
    <w:p/>
    <w:p>
      <w:pPr>
        <w:pStyle w:val="Heading1"/>
      </w:pPr>
      <w:r>
        <w:t>6. MVP and integration readiness</w:t>
      </w:r>
    </w:p>
    <w:p>
      <w:r>
        <w:rPr>
          <w:b/>
        </w:rPr>
        <w:t>Working today</w:t>
      </w:r>
    </w:p>
    <w:p>
      <w:pPr>
        <w:pStyle w:val="ListBullet"/>
      </w:pPr>
      <w:r>
        <w:t>Accounting core on the app's own database: customers, vendors, products, chart of accounts, invoices, estimates, bills, expenses, journal entries, transfers, payments, recurring schedules, documents, audit log, reports.</w:t>
      </w:r>
    </w:p>
    <w:p>
      <w:pPr>
        <w:pStyle w:val="ListBullet"/>
      </w:pPr>
      <w:r>
        <w:t>Trade operations: shipments, HTS classification, restricted-party screening, five compliance agents, order desk with four agents.</w:t>
      </w:r>
    </w:p>
    <w:p>
      <w:pPr>
        <w:pStyle w:val="ListBullet"/>
      </w:pPr>
      <w:r>
        <w:t>Inbound integration endpoints for the order desk and shipment events, protected by INTEGRATION_KEY.</w:t>
      </w:r>
    </w:p>
    <w:p>
      <w:pPr>
        <w:pStyle w:val="ListBullet"/>
      </w:pPr>
      <w:r>
        <w:t>Installable PWA, mobile layout, migration workflow, health check.</w:t>
      </w:r>
    </w:p>
    <w:p>
      <w:r>
        <w:rPr>
          <w:b/>
        </w:rPr>
        <w:t>Not yet a functional, integratable MVP because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Email sending</w:t>
            </w:r>
          </w:p>
        </w:tc>
        <w:tc>
          <w:tcPr>
            <w:tcW w:type="dxa" w:w="4680"/>
          </w:tcPr>
          <w:p>
            <w:r>
              <w:t>SMTP_* not configured, so invoices, reminders and customer replies cannot actually be sent</w:t>
            </w:r>
          </w:p>
        </w:tc>
      </w:tr>
      <w:tr>
        <w:tc>
          <w:tcPr>
            <w:tcW w:type="dxa" w:w="4680"/>
          </w:tcPr>
          <w:p>
            <w:r>
              <w:t>AI features</w:t>
            </w:r>
          </w:p>
        </w:tc>
        <w:tc>
          <w:tcPr>
            <w:tcW w:type="dxa" w:w="4680"/>
          </w:tcPr>
          <w:p>
            <w:r>
              <w:t>ANTHROPIC_API_KEY not set; classification and order reading fall back to rules</w:t>
            </w:r>
          </w:p>
        </w:tc>
      </w:tr>
      <w:tr>
        <w:tc>
          <w:tcPr>
            <w:tcW w:type="dxa" w:w="4680"/>
          </w:tcPr>
          <w:p>
            <w:r>
              <w:t>Payments</w:t>
            </w:r>
          </w:p>
        </w:tc>
        <w:tc>
          <w:tcPr>
            <w:tcW w:type="dxa" w:w="4680"/>
          </w:tcPr>
          <w:p>
            <w:r>
              <w:t>PAYMENTS_PROVIDER=mock: payment links are placeholders, no money moves</w:t>
            </w:r>
          </w:p>
        </w:tc>
      </w:tr>
      <w:tr>
        <w:tc>
          <w:tcPr>
            <w:tcW w:type="dxa" w:w="4680"/>
          </w:tcPr>
          <w:p>
            <w:r>
              <w:t>Payroll, capital, benchmark</w:t>
            </w:r>
          </w:p>
        </w:tc>
        <w:tc>
          <w:tcPr>
            <w:tcW w:type="dxa" w:w="4680"/>
          </w:tcPr>
          <w:p>
            <w:r>
              <w:t>Mock providers</w:t>
            </w:r>
          </w:p>
        </w:tc>
      </w:tr>
      <w:tr>
        <w:tc>
          <w:tcPr>
            <w:tcW w:type="dxa" w:w="4680"/>
          </w:tcPr>
          <w:p>
            <w:r>
              <w:t>QuickBooks</w:t>
            </w:r>
          </w:p>
        </w:tc>
        <w:tc>
          <w:tcPr>
            <w:tcW w:type="dxa" w:w="4680"/>
          </w:tcPr>
          <w:p>
            <w:r>
              <w:t>Optional connector exists but has not been validated end to end in this review</w:t>
            </w:r>
          </w:p>
        </w:tc>
      </w:tr>
      <w:tr>
        <w:tc>
          <w:tcPr>
            <w:tcW w:type="dxa" w:w="4680"/>
          </w:tcPr>
          <w:p>
            <w:r>
              <w:t>Client ERP connections</w:t>
            </w:r>
          </w:p>
        </w:tc>
        <w:tc>
          <w:tcPr>
            <w:tcW w:type="dxa" w:w="4680"/>
          </w:tcPr>
          <w:p>
            <w:r>
              <w:t>No real client ERP addresses or API credentials supplied; the login page only states the capability</w:t>
            </w:r>
          </w:p>
        </w:tc>
      </w:tr>
      <w:tr>
        <w:tc>
          <w:tcPr>
            <w:tcW w:type="dxa" w:w="4680"/>
          </w:tcPr>
          <w:p>
            <w:r>
              <w:t>Public API</w:t>
            </w:r>
          </w:p>
        </w:tc>
        <w:tc>
          <w:tcPr>
            <w:tcW w:type="dxa" w:w="4680"/>
          </w:tcPr>
          <w:p>
            <w:r>
              <w:t>No documented, versioned API, API keys per client, webhooks out, or OpenAPI spec; current routes are internal and cookie-authenticated</w:t>
            </w:r>
          </w:p>
        </w:tc>
      </w:tr>
      <w:tr>
        <w:tc>
          <w:tcPr>
            <w:tcW w:type="dxa" w:w="4680"/>
          </w:tcPr>
          <w:p>
            <w:r>
              <w:t>Users</w:t>
            </w:r>
          </w:p>
        </w:tc>
        <w:tc>
          <w:tcPr>
            <w:tcW w:type="dxa" w:w="4680"/>
          </w:tcPr>
          <w:p>
            <w:r>
              <w:t>One shared passphrase; no roles, no per-user audit</w:t>
            </w:r>
          </w:p>
        </w:tc>
      </w:tr>
      <w:tr>
        <w:tc>
          <w:tcPr>
            <w:tcW w:type="dxa" w:w="4680"/>
          </w:tcPr>
          <w:p>
            <w:r>
              <w:t>Operations</w:t>
            </w:r>
          </w:p>
        </w:tc>
        <w:tc>
          <w:tcPr>
            <w:tcW w:type="dxa" w:w="4680"/>
          </w:tcPr>
          <w:p>
            <w:r>
              <w:t>No backup/restore procedure documented, no error monitoring or alerting, no rate limiting on API beyond login</w:t>
            </w:r>
          </w:p>
        </w:tc>
      </w:tr>
      <w:tr>
        <w:tc>
          <w:tcPr>
            <w:tcW w:type="dxa" w:w="4680"/>
          </w:tcPr>
          <w:p>
            <w:r>
              <w:t>Data import/export</w:t>
            </w:r>
          </w:p>
        </w:tc>
        <w:tc>
          <w:tcPr>
            <w:tcW w:type="dxa" w:w="4680"/>
          </w:tcPr>
          <w:p>
            <w:r>
              <w:t>No CSV import for customers, products or opening balances; no export of ledgers</w:t>
            </w:r>
          </w:p>
        </w:tc>
      </w:tr>
    </w:tbl>
    <w:p/>
    <w:p>
      <w:pPr>
        <w:pStyle w:val="Heading1"/>
      </w:pPr>
      <w:r>
        <w:t>7. Recommended path to a pilot-ready MVP</w:t>
      </w:r>
    </w:p>
    <w:p>
      <w:pPr>
        <w:pStyle w:val="ListNumber"/>
      </w:pPr>
      <w:r>
        <w:t>Merge PR #61 and run the migration; set CRON_SECRET, SMTP_* and ANTHROPIC_API_KEY.</w:t>
      </w:r>
    </w:p>
    <w:p>
      <w:pPr>
        <w:pStyle w:val="ListNumber"/>
      </w:pPr>
      <w:r>
        <w:t>Re-run the stress suite and timing against a staging copy on Netlify with the hosted database.</w:t>
      </w:r>
    </w:p>
    <w:p>
      <w:pPr>
        <w:pStyle w:val="ListNumber"/>
      </w:pPr>
      <w:r>
        <w:t>Add individual users with roles, and record who in the audit log.</w:t>
      </w:r>
    </w:p>
    <w:p>
      <w:pPr>
        <w:pStyle w:val="ListNumber"/>
      </w:pPr>
      <w:r>
        <w:t>Choose and wire one real payment processor and one real integration target (a named client ERP or QuickBooks), then test it end to end.</w:t>
      </w:r>
    </w:p>
    <w:p>
      <w:pPr>
        <w:pStyle w:val="ListNumber"/>
      </w:pPr>
      <w:r>
        <w:t>Publish a versioned API with per-client keys, OpenAPI documentation and outbound webhooks.</w:t>
      </w:r>
    </w:p>
    <w:p>
      <w:pPr>
        <w:pStyle w:val="ListNumber"/>
      </w:pPr>
      <w:r>
        <w:t>Add CSV import/export, backups, monitoring and a CI job that runs the entry suite on every pull request.</w:t>
      </w:r>
    </w:p>
    <w:p>
      <w:pPr>
        <w:pStyle w:val="ListNumber"/>
      </w:pPr>
      <w:r>
        <w:t>Decide the ledger model for A/R, A/P and revenue posting with an accountant before go-live.</w:t>
      </w:r>
    </w:p>
    <w:p>
      <w:pPr>
        <w:pStyle w:val="Heading1"/>
      </w:pPr>
      <w:r>
        <w:t>8. Reproducing this report</w:t>
      </w:r>
    </w:p>
    <w:p>
      <w:r>
        <w:rPr>
          <w:b w:val="0"/>
        </w:rPr>
        <w:t>Build and start the app against a throwaway database, seed a chart of accounts (2 bank, 1 income, 2 expense), then run: QA_BASE_URL=http://localhost:3111 APP_PASSWORD=&lt;passphrase&gt; npm run qa:entries. Exit code equals the number of failed checks.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