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76" w:lineRule="auto"/>
        <w:jc w:val="center"/>
      </w:pPr>
      <w:r>
        <w:rPr>
          <w:b/>
          <w:color w:val="1B365D"/>
          <w:sz w:val="48"/>
        </w:rPr>
        <w:t>PROJECT MODIFICATION &amp; FEATURE ESTIMATE</w:t>
      </w:r>
    </w:p>
    <w:p>
      <w:pPr>
        <w:spacing w:before="0" w:after="480" w:line="276" w:lineRule="auto"/>
        <w:jc w:val="center"/>
      </w:pPr>
      <w:r>
        <w:rPr>
          <w:i/>
          <w:color w:val="475569"/>
          <w:sz w:val="26"/>
        </w:rPr>
        <w:t>Econ LMS Web Application - Version Upgrade &amp; Enhancements</w:t>
      </w:r>
    </w:p>
    <w:p>
      <w:pPr>
        <w:spacing w:before="0" w:after="720" w:line="276" w:lineRule="auto"/>
        <w:jc w:val="center"/>
      </w:pPr>
      <w:r>
        <w:rPr>
          <w:color w:val="1B365D"/>
          <w:sz w:val="20"/>
        </w:rPr>
        <w:t>━━━━━━━━━━━━━━━━━━━━━━━━━━━━━━━━━━━━━━━━</w:t>
      </w:r>
    </w:p>
    <w:tbl>
      <w:tblPr>
        <w:tblW w:type="auto" w:w="0"/>
        <w:jc w:val="center"/>
        <w:tblLook w:firstColumn="1" w:firstRow="1" w:lastColumn="0" w:lastRow="0" w:noHBand="0" w:noVBand="1" w:val="04A0"/>
      </w:tblPr>
      <w:tblGrid>
        <w:gridCol w:w="4680"/>
        <w:gridCol w:w="4680"/>
      </w:tblGrid>
      <w:tr>
        <w:tc>
          <w:tcPr>
            <w:tcW w:type="dxa" w:w="2880"/>
          </w:tcPr>
          <w:p>
            <w:pPr>
              <w:spacing w:before="0" w:after="80" w:line="276" w:lineRule="auto"/>
            </w:pPr>
            <w:r/>
            <w:r>
              <w:rPr>
                <w:b/>
                <w:color w:val="475569"/>
              </w:rPr>
              <w:t>Prepared For:</w:t>
            </w:r>
          </w:p>
        </w:tc>
        <w:tc>
          <w:tcPr>
            <w:tcW w:type="dxa" w:w="6480"/>
          </w:tcPr>
          <w:p>
            <w:pPr>
              <w:spacing w:before="0" w:after="80" w:line="276" w:lineRule="auto"/>
            </w:pPr>
            <w:r/>
            <w:r>
              <w:rPr>
                <w:color w:val="1E293B"/>
              </w:rPr>
              <w:t>Economics LMS Client</w:t>
            </w:r>
          </w:p>
        </w:tc>
      </w:tr>
      <w:tr>
        <w:tc>
          <w:tcPr>
            <w:tcW w:type="dxa" w:w="2880"/>
          </w:tcPr>
          <w:p>
            <w:pPr>
              <w:spacing w:before="0" w:after="80" w:line="276" w:lineRule="auto"/>
            </w:pPr>
            <w:r/>
            <w:r>
              <w:rPr>
                <w:b/>
                <w:color w:val="475569"/>
              </w:rPr>
              <w:t>Prepared By:</w:t>
            </w:r>
          </w:p>
        </w:tc>
        <w:tc>
          <w:tcPr>
            <w:tcW w:type="dxa" w:w="6480"/>
          </w:tcPr>
          <w:p>
            <w:pPr>
              <w:spacing w:before="0" w:after="80" w:line="276" w:lineRule="auto"/>
            </w:pPr>
            <w:r/>
            <w:r>
              <w:rPr>
                <w:color w:val="1E293B"/>
              </w:rPr>
              <w:t>Development &amp; Architecture Team</w:t>
            </w:r>
          </w:p>
        </w:tc>
      </w:tr>
      <w:tr>
        <w:tc>
          <w:tcPr>
            <w:tcW w:type="dxa" w:w="2880"/>
          </w:tcPr>
          <w:p>
            <w:pPr>
              <w:spacing w:before="0" w:after="80" w:line="276" w:lineRule="auto"/>
            </w:pPr>
            <w:r/>
            <w:r>
              <w:rPr>
                <w:b/>
                <w:color w:val="475569"/>
              </w:rPr>
              <w:t>Date:</w:t>
            </w:r>
          </w:p>
        </w:tc>
        <w:tc>
          <w:tcPr>
            <w:tcW w:type="dxa" w:w="6480"/>
          </w:tcPr>
          <w:p>
            <w:pPr>
              <w:spacing w:before="0" w:after="80" w:line="276" w:lineRule="auto"/>
            </w:pPr>
            <w:r/>
            <w:r>
              <w:rPr>
                <w:color w:val="1E293B"/>
              </w:rPr>
              <w:t>May 24, 2026</w:t>
            </w:r>
          </w:p>
        </w:tc>
      </w:tr>
      <w:tr>
        <w:tc>
          <w:tcPr>
            <w:tcW w:type="dxa" w:w="2880"/>
          </w:tcPr>
          <w:p>
            <w:pPr>
              <w:spacing w:before="0" w:after="80" w:line="276" w:lineRule="auto"/>
            </w:pPr>
            <w:r/>
            <w:r>
              <w:rPr>
                <w:b/>
                <w:color w:val="475569"/>
              </w:rPr>
              <w:t>Status / Version:</w:t>
            </w:r>
          </w:p>
        </w:tc>
        <w:tc>
          <w:tcPr>
            <w:tcW w:type="dxa" w:w="6480"/>
          </w:tcPr>
          <w:p>
            <w:pPr>
              <w:spacing w:before="0" w:after="80" w:line="276" w:lineRule="auto"/>
            </w:pPr>
            <w:r/>
            <w:r>
              <w:rPr>
                <w:color w:val="1E293B"/>
              </w:rPr>
              <w:t>v1.0 (Proposal &amp; Quotation)</w:t>
            </w:r>
          </w:p>
        </w:tc>
      </w:tr>
    </w:tbl>
    <w:p>
      <w:r>
        <w:br w:type="page"/>
      </w:r>
    </w:p>
    <w:p>
      <w:pPr>
        <w:spacing w:before="360" w:after="80" w:line="276" w:lineRule="auto"/>
      </w:pPr>
      <w:r>
        <w:rPr>
          <w:rFonts w:ascii="Arial" w:hAnsi="Arial"/>
          <w:b/>
          <w:color w:val="1B365D"/>
          <w:sz w:val="36"/>
        </w:rPr>
        <w:t>1. Executive Summary</w:t>
      </w:r>
    </w:p>
    <w:p>
      <w:pPr>
        <w:spacing w:before="0" w:after="160" w:line="276" w:lineRule="auto"/>
      </w:pPr>
      <w:r>
        <w:t xml:space="preserve">This document provides a comprehensive scope of work, technical implementation details, and commercial estimate for the proposed modifications and additional features for the </w:t>
      </w:r>
      <w:r>
        <w:rPr>
          <w:b/>
        </w:rPr>
        <w:t>Econ LMS Web Application</w:t>
      </w:r>
      <w:r>
        <w:t>. The upgrades have been requested to optimize the public-facing landing pages, fine-tune the user experience (UX), realign colors and assets with the new brand guidelines, and introduce core administrative systems such as fee tracking, live class scheduling, and an interactive exam results releasing suite.</w:t>
      </w:r>
    </w:p>
    <w:p>
      <w:pPr>
        <w:spacing w:before="0" w:after="160" w:line="276" w:lineRule="auto"/>
      </w:pPr>
      <w:r>
        <w:t>All modifications are designed to seamlessly integrate into the existing Next.js 15 (App Router) and Tailwind CSS architecture, utilizing standard best practices to ensure high performance, search engine optimization (SEO), and mobile responsiveness.</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Borders>
              <w:left w:val="single" w:sz="36" w:space="0" w:color="1B365D"/>
              <w:top w:val="none"/>
              <w:right w:val="none"/>
              <w:bottom w:val="none"/>
            </w:tcBorders>
          </w:tcPr>
          <w:p>
            <w:pPr>
              <w:spacing w:before="0" w:after="0" w:line="276" w:lineRule="auto"/>
            </w:pPr>
            <w:r>
              <w:rPr>
                <w:b/>
                <w:color w:val="1B365D"/>
              </w:rPr>
              <w:t>Estimate Summary:</w:t>
              <w:br/>
            </w:r>
            <w:r>
              <w:rPr>
                <w:i/>
              </w:rPr>
              <w:t>• Total Development Cost: LKR 17,500.00</w:t>
              <w:br/>
              <w:t>• Deployment &amp; Production Server Setup Fee: LKR 2,500.00</w:t>
              <w:br/>
              <w:t>• Grand Total Project Cost: LKR 20,000.00</w:t>
              <w:br/>
              <w:t>• Estimated Delivery Timeline: 3 - 5 Working Days</w:t>
            </w:r>
          </w:p>
        </w:tc>
      </w:tr>
    </w:tbl>
    <w:p>
      <w:pPr>
        <w:spacing w:before="480" w:after="80" w:line="276" w:lineRule="auto"/>
      </w:pPr>
      <w:r>
        <w:rPr>
          <w:rFonts w:ascii="Arial" w:hAnsi="Arial"/>
          <w:b/>
          <w:color w:val="1B365D"/>
          <w:sz w:val="36"/>
        </w:rPr>
        <w:t>2. Detailed Scope of Work: Modifications</w:t>
      </w:r>
    </w:p>
    <w:p>
      <w:pPr>
        <w:spacing w:before="0" w:after="240" w:line="276" w:lineRule="auto"/>
      </w:pPr>
      <w:r>
        <w:t>The following list represents the visual, content, and functional modifications requested for the core LMS layout. These changes aim to improve public engagement, display critical contacts, and unify the visual aesthetics.</w:t>
      </w:r>
    </w:p>
    <w:p>
      <w:pPr>
        <w:spacing w:before="200" w:after="80" w:line="276" w:lineRule="auto"/>
      </w:pPr>
      <w:r>
        <w:rPr>
          <w:rFonts w:ascii="Arial" w:hAnsi="Arial"/>
          <w:b/>
          <w:color w:val="1B365D"/>
          <w:sz w:val="28"/>
        </w:rPr>
        <w:t>Navigation Bar Enhancements</w:t>
      </w:r>
    </w:p>
    <w:p>
      <w:pPr>
        <w:spacing w:before="0" w:after="160" w:line="276" w:lineRule="auto"/>
      </w:pPr>
      <w:r>
        <w:t>• Add a dedicated ‘Free Lessons’ link in the primary navigation bar to increase public resource conversion.</w:t>
        <w:br/>
        <w:t>• Remove the standalone 'Login' button from the header navigation to declutter and guide users to CTA actions.</w:t>
        <w:br/>
        <w:t>• Integrate dynamic social media icons (Facebook, YouTube, Telegram) in the top-right corner of the navigation bar.</w:t>
      </w:r>
    </w:p>
    <w:p>
      <w:pPr>
        <w:spacing w:before="200" w:after="80" w:line="276" w:lineRule="auto"/>
      </w:pPr>
      <w:r>
        <w:rPr>
          <w:rFonts w:ascii="Arial" w:hAnsi="Arial"/>
          <w:b/>
          <w:color w:val="1B365D"/>
          <w:sz w:val="28"/>
        </w:rPr>
        <w:t>Visual Identity &amp; Palette Upgrade</w:t>
      </w:r>
    </w:p>
    <w:p>
      <w:pPr>
        <w:spacing w:before="0" w:after="160" w:line="276" w:lineRule="auto"/>
      </w:pPr>
      <w:r>
        <w:t>• Replace all existing brand Orange accents with a vibrant, premium Golden Yellow color system (matching modern dark luxury aesthetics).</w:t>
        <w:br/>
        <w:t>• Change the 'Econ' text color to Pure White in the prominent hero section title ('Quality ම Econ') for optimal contrast.</w:t>
      </w:r>
    </w:p>
    <w:p>
      <w:pPr>
        <w:spacing w:before="200" w:after="80" w:line="276" w:lineRule="auto"/>
      </w:pPr>
      <w:r>
        <w:rPr>
          <w:rFonts w:ascii="Arial" w:hAnsi="Arial"/>
          <w:b/>
          <w:color w:val="1B365D"/>
          <w:sz w:val="28"/>
        </w:rPr>
        <w:t>Landing Page Redesign &amp; Decluttering</w:t>
      </w:r>
    </w:p>
    <w:p>
      <w:pPr>
        <w:spacing w:before="0" w:after="160" w:line="276" w:lineRule="auto"/>
      </w:pPr>
      <w:r>
        <w:t>• Remove the Exam Results section from the public landing page (releasing and analytics will move into the secure student portal).</w:t>
        <w:br/>
        <w:t>• Remove the Batch/Class Year section from the landing page to simplify page hierarchy.</w:t>
        <w:br/>
        <w:t>• Comment out the 'Modern Features' section in the source code, keeping it secure for future feature phases while hiding it from the live UI.</w:t>
        <w:br/>
        <w:t>• Translate the testmonial heading from 'What Our Students Say' to a high-converting Sinhala heading: 'දරුවන් අපගැන තැබූ සටහන්'.</w:t>
      </w:r>
    </w:p>
    <w:p>
      <w:pPr>
        <w:spacing w:before="200" w:after="80" w:line="276" w:lineRule="auto"/>
      </w:pPr>
      <w:r>
        <w:rPr>
          <w:rFonts w:ascii="Arial" w:hAnsi="Arial"/>
          <w:b/>
          <w:color w:val="1B365D"/>
          <w:sz w:val="28"/>
        </w:rPr>
        <w:t>CTA &amp; Layout Fine-Tuning</w:t>
      </w:r>
    </w:p>
    <w:p>
      <w:pPr>
        <w:spacing w:before="0" w:after="160" w:line="276" w:lineRule="auto"/>
      </w:pPr>
      <w:r>
        <w:t>• Update Landing Page Call-to-Action (CTA) buttons: 'Join Class Now' will be updated to 'Login', and 'Join Free' will be updated to 'Register'.</w:t>
        <w:br/>
        <w:t>• Add the primary student support contact number directly below the hero section CTA buttons to drive instant registrations.</w:t>
        <w:br/>
        <w:t>• Redesign and update colors of the 4 course/category cards on the O/L Page to align with the new golden-yellow palette.</w:t>
      </w:r>
    </w:p>
    <w:p>
      <w:pPr>
        <w:spacing w:before="200" w:after="80" w:line="276" w:lineRule="auto"/>
      </w:pPr>
      <w:r>
        <w:rPr>
          <w:rFonts w:ascii="Arial" w:hAnsi="Arial"/>
          <w:b/>
          <w:color w:val="1B365D"/>
          <w:sz w:val="28"/>
        </w:rPr>
        <w:t>Dynamic Student Registration Lookup</w:t>
      </w:r>
    </w:p>
    <w:p>
      <w:pPr>
        <w:spacing w:before="0" w:after="160" w:line="276" w:lineRule="auto"/>
      </w:pPr>
      <w:r>
        <w:t>• Integrate an intelligent first-time Student Name capture field when registering students for exam results.</w:t>
        <w:br/>
        <w:t>• Once a student is registered, the system will auto-fetch and pre-populate their existing name in future input fields, minimizing manual entry and data duplication.</w:t>
      </w:r>
    </w:p>
    <w:p>
      <w:r>
        <w:br w:type="page"/>
      </w:r>
    </w:p>
    <w:p>
      <w:pPr>
        <w:spacing w:before="360" w:after="80" w:line="276" w:lineRule="auto"/>
      </w:pPr>
      <w:r>
        <w:rPr>
          <w:rFonts w:ascii="Arial" w:hAnsi="Arial"/>
          <w:b/>
          <w:color w:val="1B365D"/>
          <w:sz w:val="36"/>
        </w:rPr>
        <w:t>3. Scope of Work: Advanced Features</w:t>
      </w:r>
    </w:p>
    <w:p>
      <w:pPr>
        <w:spacing w:before="0" w:after="240" w:line="276" w:lineRule="auto"/>
      </w:pPr>
      <w:r>
        <w:t>To provide a complete Learning Management experience, the following administrative and student panel features are included in this scope. These features will require server-side database schema extensions and admin panel controller updates.</w:t>
      </w:r>
    </w:p>
    <w:p>
      <w:pPr>
        <w:spacing w:before="200" w:after="80" w:line="276" w:lineRule="auto"/>
      </w:pPr>
      <w:r>
        <w:rPr>
          <w:rFonts w:ascii="Arial" w:hAnsi="Arial"/>
          <w:b/>
          <w:color w:val="1B365D"/>
          <w:sz w:val="28"/>
        </w:rPr>
        <w:t>Class Fee Management System</w:t>
      </w:r>
    </w:p>
    <w:p>
      <w:pPr>
        <w:spacing w:before="0" w:after="160" w:line="276" w:lineRule="auto"/>
      </w:pPr>
      <w:r>
        <w:t>A secure management hub allowing the teacher/admin to track monthly student fee payments, approve student enrollment status based on payments, and view transaction records. Students will receive clear visual indicator notifications regarding payment confirmation status.</w:t>
      </w:r>
    </w:p>
    <w:p>
      <w:pPr>
        <w:spacing w:before="200" w:after="80" w:line="276" w:lineRule="auto"/>
      </w:pPr>
      <w:r>
        <w:rPr>
          <w:rFonts w:ascii="Arial" w:hAnsi="Arial"/>
          <w:b/>
          <w:color w:val="1B365D"/>
          <w:sz w:val="28"/>
        </w:rPr>
        <w:t>Live Class Links Hub (Zoom &amp; YouTube Integration)</w:t>
      </w:r>
    </w:p>
    <w:p>
      <w:pPr>
        <w:spacing w:before="0" w:after="160" w:line="276" w:lineRule="auto"/>
      </w:pPr>
      <w:r>
        <w:t>An administrative panel where the teacher can schedule and paste live Zoom meeting URLs and YouTube live stream links. These links will dynamically render in real-time on the student dashboard, enabling students to access live lectures with a single click.</w:t>
      </w:r>
    </w:p>
    <w:p>
      <w:pPr>
        <w:spacing w:before="200" w:after="80" w:line="276" w:lineRule="auto"/>
      </w:pPr>
      <w:r>
        <w:rPr>
          <w:rFonts w:ascii="Arial" w:hAnsi="Arial"/>
          <w:b/>
          <w:color w:val="1B365D"/>
          <w:sz w:val="28"/>
        </w:rPr>
        <w:t>Exam Results Releasing &amp; Analytics Feature</w:t>
      </w:r>
    </w:p>
    <w:p>
      <w:pPr>
        <w:spacing w:before="0" w:after="160" w:line="276" w:lineRule="auto"/>
      </w:pPr>
      <w:r>
        <w:t>An advanced suite for teachers to input and release examination results. The admin can publish overall results, while students will have a personalized grade lookup section within their dashboard to view their marks, class average, and performance progress charts.</w:t>
      </w:r>
    </w:p>
    <w:p>
      <w:pPr>
        <w:spacing w:before="480" w:after="80" w:line="276" w:lineRule="auto"/>
      </w:pPr>
      <w:r>
        <w:rPr>
          <w:rFonts w:ascii="Arial" w:hAnsi="Arial"/>
          <w:b/>
          <w:color w:val="1B365D"/>
          <w:sz w:val="36"/>
        </w:rPr>
        <w:t>4. Commercial Estimate &amp; Breakdown</w:t>
      </w:r>
    </w:p>
    <w:p>
      <w:pPr>
        <w:spacing w:before="0" w:after="240" w:line="276" w:lineRule="auto"/>
      </w:pPr>
      <w:r>
        <w:t>The following commercial matrix provides a line-item cost breakdown for the proposed UI modifications, database features, and live production deployment support. This quotation is tailored to meet the LKR 10,000.00 – 20,000.00 budget guidelines.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120"/>
        <w:gridCol w:w="3120"/>
        <w:gridCol w:w="3120"/>
      </w:tblGrid>
      <w:tr>
        <w:tc>
          <w:tcPr>
            <w:tcW w:type="dxa" w:w="3600"/>
            <w:shd w:fill="1B365D"/>
            <w:tcMar>
              <w:top w:w="140" w:type="dxa"/>
              <w:bottom w:w="140" w:type="dxa"/>
              <w:left w:w="140" w:type="dxa"/>
              <w:right w:w="140" w:type="dxa"/>
            </w:tcMar>
          </w:tcPr>
          <w:p>
            <w:pPr>
              <w:spacing w:before="120" w:after="120" w:line="276" w:lineRule="auto"/>
              <w:jc w:val="left"/>
            </w:pPr>
            <w:r/>
            <w:r>
              <w:rPr>
                <w:b/>
                <w:color w:val="FFFFFF"/>
              </w:rPr>
              <w:t>Task / Implementation Module</w:t>
            </w:r>
          </w:p>
        </w:tc>
        <w:tc>
          <w:tcPr>
            <w:tcW w:type="dxa" w:w="3600"/>
            <w:shd w:fill="1B365D"/>
            <w:tcMar>
              <w:top w:w="140" w:type="dxa"/>
              <w:bottom w:w="140" w:type="dxa"/>
              <w:left w:w="140" w:type="dxa"/>
              <w:right w:w="140" w:type="dxa"/>
            </w:tcMar>
          </w:tcPr>
          <w:p>
            <w:pPr>
              <w:spacing w:before="120" w:after="120" w:line="276" w:lineRule="auto"/>
              <w:jc w:val="left"/>
            </w:pPr>
            <w:r/>
            <w:r>
              <w:rPr>
                <w:b/>
                <w:color w:val="FFFFFF"/>
              </w:rPr>
              <w:t>Description</w:t>
            </w:r>
          </w:p>
        </w:tc>
        <w:tc>
          <w:tcPr>
            <w:tcW w:type="dxa" w:w="2160"/>
            <w:shd w:fill="1B365D"/>
            <w:tcMar>
              <w:top w:w="140" w:type="dxa"/>
              <w:bottom w:w="140" w:type="dxa"/>
              <w:left w:w="140" w:type="dxa"/>
              <w:right w:w="140" w:type="dxa"/>
            </w:tcMar>
          </w:tcPr>
          <w:p>
            <w:pPr>
              <w:spacing w:before="120" w:after="120" w:line="276" w:lineRule="auto"/>
              <w:jc w:val="right"/>
            </w:pPr>
            <w:r/>
            <w:r>
              <w:rPr>
                <w:b/>
                <w:color w:val="FFFFFF"/>
              </w:rPr>
              <w:t>Estimated Cost (LKR)</w:t>
            </w:r>
          </w:p>
        </w:tc>
      </w:tr>
      <w:tr>
        <w:tc>
          <w:tcPr>
            <w:tcW w:type="dxa" w:w="3600"/>
            <w:tcMar>
              <w:top w:w="100" w:type="dxa"/>
              <w:bottom w:w="100" w:type="dxa"/>
              <w:left w:w="140" w:type="dxa"/>
              <w:right w:w="140" w:type="dxa"/>
            </w:tcMar>
          </w:tcPr>
          <w:p>
            <w:pPr>
              <w:spacing w:before="80" w:after="80" w:line="276" w:lineRule="auto"/>
              <w:jc w:val="left"/>
            </w:pPr>
            <w:r/>
            <w:r>
              <w:rPr>
                <w:b/>
              </w:rPr>
              <w:t>A. Core UI/UX Customizations</w:t>
            </w:r>
          </w:p>
        </w:tc>
        <w:tc>
          <w:tcPr>
            <w:tcW w:type="dxa" w:w="3600"/>
            <w:tcMar>
              <w:top w:w="100" w:type="dxa"/>
              <w:bottom w:w="100" w:type="dxa"/>
              <w:left w:w="140" w:type="dxa"/>
              <w:right w:w="140" w:type="dxa"/>
            </w:tcMar>
          </w:tcPr>
          <w:p>
            <w:pPr>
              <w:spacing w:before="80" w:after="80" w:line="276" w:lineRule="auto"/>
              <w:jc w:val="left"/>
            </w:pPr>
            <w:r/>
            <w:r>
              <w:t>Theme color transition (Yellow/Gold), navbar restructuring, Sinhala translations, landing page section removals, and O/L cards updates.</w:t>
            </w:r>
          </w:p>
        </w:tc>
        <w:tc>
          <w:tcPr>
            <w:tcW w:type="dxa" w:w="2160"/>
            <w:tcMar>
              <w:top w:w="100" w:type="dxa"/>
              <w:bottom w:w="100" w:type="dxa"/>
              <w:left w:w="140" w:type="dxa"/>
              <w:right w:w="140" w:type="dxa"/>
            </w:tcMar>
          </w:tcPr>
          <w:p>
            <w:pPr>
              <w:spacing w:before="80" w:after="80" w:line="276" w:lineRule="auto"/>
              <w:jc w:val="right"/>
            </w:pPr>
            <w:r/>
            <w:r>
              <w:t>5,000.00</w:t>
            </w:r>
          </w:p>
        </w:tc>
      </w:tr>
      <w:tr>
        <w:tc>
          <w:tcPr>
            <w:tcW w:type="dxa" w:w="3600"/>
            <w:tcMar>
              <w:top w:w="100" w:type="dxa"/>
              <w:bottom w:w="100" w:type="dxa"/>
              <w:left w:w="140" w:type="dxa"/>
              <w:right w:w="140" w:type="dxa"/>
            </w:tcMar>
            <w:shd w:fill="F8FAFC"/>
          </w:tcPr>
          <w:p>
            <w:pPr>
              <w:spacing w:before="80" w:after="80" w:line="276" w:lineRule="auto"/>
              <w:jc w:val="left"/>
            </w:pPr>
            <w:r/>
            <w:r>
              <w:rPr>
                <w:b/>
              </w:rPr>
              <w:t>B. Student Registry Auto-Fetch</w:t>
            </w:r>
          </w:p>
        </w:tc>
        <w:tc>
          <w:tcPr>
            <w:tcW w:type="dxa" w:w="3600"/>
            <w:tcMar>
              <w:top w:w="100" w:type="dxa"/>
              <w:bottom w:w="100" w:type="dxa"/>
              <w:left w:w="140" w:type="dxa"/>
              <w:right w:w="140" w:type="dxa"/>
            </w:tcMar>
            <w:shd w:fill="F8FAFC"/>
          </w:tcPr>
          <w:p>
            <w:pPr>
              <w:spacing w:before="80" w:after="80" w:line="276" w:lineRule="auto"/>
              <w:jc w:val="left"/>
            </w:pPr>
            <w:r/>
            <w:r>
              <w:t>First-time name registration form with state-management auto-fetching to reduce data entry redundancy.</w:t>
            </w:r>
          </w:p>
        </w:tc>
        <w:tc>
          <w:tcPr>
            <w:tcW w:type="dxa" w:w="2160"/>
            <w:tcMar>
              <w:top w:w="100" w:type="dxa"/>
              <w:bottom w:w="100" w:type="dxa"/>
              <w:left w:w="140" w:type="dxa"/>
              <w:right w:w="140" w:type="dxa"/>
            </w:tcMar>
            <w:shd w:fill="F8FAFC"/>
          </w:tcPr>
          <w:p>
            <w:pPr>
              <w:spacing w:before="80" w:after="80" w:line="276" w:lineRule="auto"/>
              <w:jc w:val="right"/>
            </w:pPr>
            <w:r/>
            <w:r>
              <w:t>3,000.00</w:t>
            </w:r>
          </w:p>
        </w:tc>
      </w:tr>
      <w:tr>
        <w:tc>
          <w:tcPr>
            <w:tcW w:type="dxa" w:w="3600"/>
            <w:tcMar>
              <w:top w:w="100" w:type="dxa"/>
              <w:bottom w:w="100" w:type="dxa"/>
              <w:left w:w="140" w:type="dxa"/>
              <w:right w:w="140" w:type="dxa"/>
            </w:tcMar>
          </w:tcPr>
          <w:p>
            <w:pPr>
              <w:spacing w:before="80" w:after="80" w:line="276" w:lineRule="auto"/>
              <w:jc w:val="left"/>
            </w:pPr>
            <w:r/>
            <w:r>
              <w:rPr>
                <w:b/>
              </w:rPr>
              <w:t>C. Class Fee Tracker</w:t>
            </w:r>
          </w:p>
        </w:tc>
        <w:tc>
          <w:tcPr>
            <w:tcW w:type="dxa" w:w="3600"/>
            <w:tcMar>
              <w:top w:w="100" w:type="dxa"/>
              <w:bottom w:w="100" w:type="dxa"/>
              <w:left w:w="140" w:type="dxa"/>
              <w:right w:w="140" w:type="dxa"/>
            </w:tcMar>
          </w:tcPr>
          <w:p>
            <w:pPr>
              <w:spacing w:before="80" w:after="80" w:line="276" w:lineRule="auto"/>
              <w:jc w:val="left"/>
            </w:pPr>
            <w:r/>
            <w:r>
              <w:t>Admin monthly fee records logging, payment approval logic, and status indicators in student panel.</w:t>
            </w:r>
          </w:p>
        </w:tc>
        <w:tc>
          <w:tcPr>
            <w:tcW w:type="dxa" w:w="2160"/>
            <w:tcMar>
              <w:top w:w="100" w:type="dxa"/>
              <w:bottom w:w="100" w:type="dxa"/>
              <w:left w:w="140" w:type="dxa"/>
              <w:right w:w="140" w:type="dxa"/>
            </w:tcMar>
          </w:tcPr>
          <w:p>
            <w:pPr>
              <w:spacing w:before="80" w:after="80" w:line="276" w:lineRule="auto"/>
              <w:jc w:val="right"/>
            </w:pPr>
            <w:r/>
            <w:r>
              <w:t>4,500.00</w:t>
            </w:r>
          </w:p>
        </w:tc>
      </w:tr>
      <w:tr>
        <w:tc>
          <w:tcPr>
            <w:tcW w:type="dxa" w:w="3600"/>
            <w:tcMar>
              <w:top w:w="100" w:type="dxa"/>
              <w:bottom w:w="100" w:type="dxa"/>
              <w:left w:w="140" w:type="dxa"/>
              <w:right w:w="140" w:type="dxa"/>
            </w:tcMar>
            <w:shd w:fill="F8FAFC"/>
          </w:tcPr>
          <w:p>
            <w:pPr>
              <w:spacing w:before="80" w:after="80" w:line="276" w:lineRule="auto"/>
              <w:jc w:val="left"/>
            </w:pPr>
            <w:r/>
            <w:r>
              <w:rPr>
                <w:b/>
              </w:rPr>
              <w:t>D. Live Classes Hub</w:t>
            </w:r>
          </w:p>
        </w:tc>
        <w:tc>
          <w:tcPr>
            <w:tcW w:type="dxa" w:w="3600"/>
            <w:tcMar>
              <w:top w:w="100" w:type="dxa"/>
              <w:bottom w:w="100" w:type="dxa"/>
              <w:left w:w="140" w:type="dxa"/>
              <w:right w:w="140" w:type="dxa"/>
            </w:tcMar>
            <w:shd w:fill="F8FAFC"/>
          </w:tcPr>
          <w:p>
            <w:pPr>
              <w:spacing w:before="80" w:after="80" w:line="276" w:lineRule="auto"/>
              <w:jc w:val="left"/>
            </w:pPr>
            <w:r/>
            <w:r>
              <w:t>Dynamic administrative links manager for live Zoom &amp; YouTube lectures displayed to active students.</w:t>
            </w:r>
          </w:p>
        </w:tc>
        <w:tc>
          <w:tcPr>
            <w:tcW w:type="dxa" w:w="2160"/>
            <w:tcMar>
              <w:top w:w="100" w:type="dxa"/>
              <w:bottom w:w="100" w:type="dxa"/>
              <w:left w:w="140" w:type="dxa"/>
              <w:right w:w="140" w:type="dxa"/>
            </w:tcMar>
            <w:shd w:fill="F8FAFC"/>
          </w:tcPr>
          <w:p>
            <w:pPr>
              <w:spacing w:before="80" w:after="80" w:line="276" w:lineRule="auto"/>
              <w:jc w:val="right"/>
            </w:pPr>
            <w:r/>
            <w:r>
              <w:t>2,000.00</w:t>
            </w:r>
          </w:p>
        </w:tc>
      </w:tr>
      <w:tr>
        <w:tc>
          <w:tcPr>
            <w:tcW w:type="dxa" w:w="3600"/>
            <w:tcMar>
              <w:top w:w="100" w:type="dxa"/>
              <w:bottom w:w="100" w:type="dxa"/>
              <w:left w:w="140" w:type="dxa"/>
              <w:right w:w="140" w:type="dxa"/>
            </w:tcMar>
          </w:tcPr>
          <w:p>
            <w:pPr>
              <w:spacing w:before="80" w:after="80" w:line="276" w:lineRule="auto"/>
              <w:jc w:val="left"/>
            </w:pPr>
            <w:r/>
            <w:r>
              <w:rPr>
                <w:b/>
              </w:rPr>
              <w:t>E. Exam Results Release Suite</w:t>
            </w:r>
          </w:p>
        </w:tc>
        <w:tc>
          <w:tcPr>
            <w:tcW w:type="dxa" w:w="3600"/>
            <w:tcMar>
              <w:top w:w="100" w:type="dxa"/>
              <w:bottom w:w="100" w:type="dxa"/>
              <w:left w:w="140" w:type="dxa"/>
              <w:right w:w="140" w:type="dxa"/>
            </w:tcMar>
          </w:tcPr>
          <w:p>
            <w:pPr>
              <w:spacing w:before="80" w:after="80" w:line="276" w:lineRule="auto"/>
              <w:jc w:val="left"/>
            </w:pPr>
            <w:r/>
            <w:r>
              <w:t>Admin exam marks input console and student interactive result lookup and grade cards.</w:t>
            </w:r>
          </w:p>
        </w:tc>
        <w:tc>
          <w:tcPr>
            <w:tcW w:type="dxa" w:w="2160"/>
            <w:tcMar>
              <w:top w:w="100" w:type="dxa"/>
              <w:bottom w:w="100" w:type="dxa"/>
              <w:left w:w="140" w:type="dxa"/>
              <w:right w:w="140" w:type="dxa"/>
            </w:tcMar>
          </w:tcPr>
          <w:p>
            <w:pPr>
              <w:spacing w:before="80" w:after="80" w:line="276" w:lineRule="auto"/>
              <w:jc w:val="right"/>
            </w:pPr>
            <w:r/>
            <w:r>
              <w:t>3,000.00</w:t>
            </w:r>
          </w:p>
        </w:tc>
      </w:tr>
      <w:tr>
        <w:tc>
          <w:tcPr>
            <w:tcW w:type="dxa" w:w="3600"/>
            <w:tcMar>
              <w:top w:w="100" w:type="dxa"/>
              <w:bottom w:w="100" w:type="dxa"/>
              <w:left w:w="140" w:type="dxa"/>
              <w:right w:w="140" w:type="dxa"/>
            </w:tcMar>
            <w:shd w:fill="F8FAFC"/>
          </w:tcPr>
          <w:p>
            <w:pPr>
              <w:spacing w:before="80" w:after="80" w:line="276" w:lineRule="auto"/>
              <w:jc w:val="left"/>
            </w:pPr>
            <w:r/>
            <w:r>
              <w:rPr>
                <w:b/>
              </w:rPr>
              <w:t>F. Server Deployment &amp; Setup</w:t>
            </w:r>
          </w:p>
        </w:tc>
        <w:tc>
          <w:tcPr>
            <w:tcW w:type="dxa" w:w="3600"/>
            <w:tcMar>
              <w:top w:w="100" w:type="dxa"/>
              <w:bottom w:w="100" w:type="dxa"/>
              <w:left w:w="140" w:type="dxa"/>
              <w:right w:w="140" w:type="dxa"/>
            </w:tcMar>
            <w:shd w:fill="F8FAFC"/>
          </w:tcPr>
          <w:p>
            <w:pPr>
              <w:spacing w:before="80" w:after="80" w:line="276" w:lineRule="auto"/>
              <w:jc w:val="left"/>
            </w:pPr>
            <w:r/>
            <w:r>
              <w:t>Production build optimization, environment configurations, and secure Vercel/Firebase hosting deployment.</w:t>
            </w:r>
          </w:p>
        </w:tc>
        <w:tc>
          <w:tcPr>
            <w:tcW w:type="dxa" w:w="2160"/>
            <w:tcMar>
              <w:top w:w="100" w:type="dxa"/>
              <w:bottom w:w="100" w:type="dxa"/>
              <w:left w:w="140" w:type="dxa"/>
              <w:right w:w="140" w:type="dxa"/>
            </w:tcMar>
            <w:shd w:fill="F8FAFC"/>
          </w:tcPr>
          <w:p>
            <w:pPr>
              <w:spacing w:before="80" w:after="80" w:line="276" w:lineRule="auto"/>
              <w:jc w:val="right"/>
            </w:pPr>
            <w:r/>
            <w:r>
              <w:t>2,500.00</w:t>
            </w:r>
          </w:p>
        </w:tc>
      </w:tr>
      <w:tr>
        <w:tc>
          <w:tcPr>
            <w:tcW w:type="dxa" w:w="3600"/>
            <w:tcMar>
              <w:top w:w="140" w:type="dxa"/>
              <w:bottom w:w="140" w:type="dxa"/>
              <w:left w:w="140" w:type="dxa"/>
              <w:right w:w="140" w:type="dxa"/>
            </w:tcMar>
            <w:shd w:fill="E2E8F0"/>
          </w:tcPr>
          <w:p>
            <w:pPr>
              <w:jc w:val="left"/>
            </w:pPr>
            <w:r/>
            <w:r>
              <w:rPr>
                <w:b/>
                <w:color w:val="1B365D"/>
              </w:rPr>
              <w:t>GRAND TOTAL AMOUNT due</w:t>
            </w:r>
          </w:p>
        </w:tc>
        <w:tc>
          <w:tcPr>
            <w:tcW w:type="dxa" w:w="3600"/>
            <w:tcMar>
              <w:top w:w="140" w:type="dxa"/>
              <w:bottom w:w="140" w:type="dxa"/>
              <w:left w:w="140" w:type="dxa"/>
              <w:right w:w="140" w:type="dxa"/>
            </w:tcMar>
            <w:shd w:fill="E2E8F0"/>
          </w:tcPr>
          <w:p>
            <w:r/>
          </w:p>
        </w:tc>
        <w:tc>
          <w:tcPr>
            <w:tcW w:type="dxa" w:w="2160"/>
            <w:tcMar>
              <w:top w:w="140" w:type="dxa"/>
              <w:bottom w:w="140" w:type="dxa"/>
              <w:left w:w="140" w:type="dxa"/>
              <w:right w:w="140" w:type="dxa"/>
            </w:tcMar>
            <w:shd w:fill="E2E8F0"/>
          </w:tcPr>
          <w:p>
            <w:pPr>
              <w:jc w:val="right"/>
            </w:pPr>
            <w:r/>
            <w:r>
              <w:rPr>
                <w:b/>
                <w:color w:val="1B365D"/>
              </w:rPr>
              <w:t>LKR 20,000.00</w:t>
            </w:r>
          </w:p>
        </w:tc>
      </w:tr>
    </w:tbl>
    <w:p>
      <w:pPr>
        <w:spacing w:before="480" w:after="80" w:line="276" w:lineRule="auto"/>
      </w:pPr>
      <w:r>
        <w:rPr>
          <w:rFonts w:ascii="Arial" w:hAnsi="Arial"/>
          <w:b/>
          <w:color w:val="1B365D"/>
          <w:sz w:val="36"/>
        </w:rPr>
        <w:t>5. Implementation Schedule</w:t>
      </w:r>
    </w:p>
    <w:p>
      <w:pPr>
        <w:spacing w:before="0" w:after="240" w:line="276" w:lineRule="auto"/>
      </w:pPr>
      <w:r>
        <w:t>To ensure a seamless rollout without disrupting current users, a structured 3-phase timeline is proposed. The overall work will be completed in 3 to 5 business days from approval.</w:t>
      </w:r>
    </w:p>
    <w:p>
      <w:pPr>
        <w:spacing w:before="0" w:after="40" w:line="276" w:lineRule="auto"/>
      </w:pPr>
      <w:r>
        <w:rPr>
          <w:b/>
          <w:color w:val="1B365D"/>
        </w:rPr>
        <w:t>• Phase 1: Brand &amp; Layout Refactor (Days 1 - 2)</w:t>
      </w:r>
    </w:p>
    <w:p>
      <w:pPr>
        <w:spacing w:before="0" w:after="160" w:line="276" w:lineRule="auto"/>
        <w:ind w:left="360"/>
      </w:pPr>
      <w:r>
        <w:rPr>
          <w:color w:val="475569"/>
        </w:rPr>
        <w:t>Completion of all UI modifications, Tailwind brand color scheme shift (orange to yellow), content changes, and structural landing page refactoring.</w:t>
      </w:r>
    </w:p>
    <w:p>
      <w:pPr>
        <w:spacing w:before="0" w:after="40" w:line="276" w:lineRule="auto"/>
      </w:pPr>
      <w:r>
        <w:rPr>
          <w:b/>
          <w:color w:val="1B365D"/>
        </w:rPr>
        <w:t>• Phase 2: Database &amp; Backend Logic (Days 2 - 3)</w:t>
      </w:r>
    </w:p>
    <w:p>
      <w:pPr>
        <w:spacing w:before="0" w:after="160" w:line="276" w:lineRule="auto"/>
        <w:ind w:left="360"/>
      </w:pPr>
      <w:r>
        <w:rPr>
          <w:color w:val="475569"/>
        </w:rPr>
        <w:t>Development of the student registry auto-fetch mechanism, live links integration, fee management schemas, and exam publishing services.</w:t>
      </w:r>
    </w:p>
    <w:p>
      <w:pPr>
        <w:spacing w:before="0" w:after="40" w:line="276" w:lineRule="auto"/>
      </w:pPr>
      <w:r>
        <w:rPr>
          <w:b/>
          <w:color w:val="1B365D"/>
        </w:rPr>
        <w:t>• Phase 3: Testing, Quality Assurance, &amp; Live Deployment (Days 4 - 5)</w:t>
      </w:r>
    </w:p>
    <w:p>
      <w:pPr>
        <w:spacing w:before="0" w:after="160" w:line="276" w:lineRule="auto"/>
        <w:ind w:left="360"/>
      </w:pPr>
      <w:r>
        <w:rPr>
          <w:color w:val="475569"/>
        </w:rPr>
        <w:t>Comprehensive cross-device UI testing, database validation, deployment of updates to live servers (LKR 2,500 package), and final hand-over to client.</w:t>
      </w:r>
    </w:p>
    <w:p>
      <w:pPr>
        <w:spacing w:before="360" w:after="80" w:line="276" w:lineRule="auto"/>
      </w:pPr>
      <w:r>
        <w:rPr>
          <w:rFonts w:ascii="Arial" w:hAnsi="Arial"/>
          <w:b/>
          <w:color w:val="1B365D"/>
          <w:sz w:val="36"/>
        </w:rPr>
        <w:t>6. Standard Terms &amp; Conditions</w:t>
      </w:r>
    </w:p>
    <w:p>
      <w:pPr>
        <w:pStyle w:val="ListBullet"/>
        <w:spacing w:before="40" w:after="80" w:line="276" w:lineRule="auto"/>
      </w:pPr>
      <w:r>
        <w:rPr>
          <w:b/>
          <w:color w:val="1B365D"/>
        </w:rPr>
        <w:t>Payment Terms:</w:t>
      </w:r>
      <w:r>
        <w:t xml:space="preserve"> An advance payment of 50% is required to initiate the modifications. The remaining 50% balance is payable upon successful live deployment and hand-over.</w:t>
      </w:r>
    </w:p>
    <w:p>
      <w:pPr>
        <w:pStyle w:val="ListBullet"/>
        <w:spacing w:before="40" w:after="80" w:line="276" w:lineRule="auto"/>
      </w:pPr>
      <w:r>
        <w:rPr>
          <w:b/>
          <w:color w:val="1B365D"/>
        </w:rPr>
        <w:t>Scope Stability:</w:t>
      </w:r>
      <w:r>
        <w:t xml:space="preserve"> The costs listed above cover the exact features detailed in this document. Any additional modifications or requirements raised during development will be evaluated and charged separately.</w:t>
      </w:r>
    </w:p>
    <w:p>
      <w:pPr>
        <w:pStyle w:val="ListBullet"/>
        <w:spacing w:before="40" w:after="80" w:line="276" w:lineRule="auto"/>
      </w:pPr>
      <w:r>
        <w:rPr>
          <w:b/>
          <w:color w:val="1B365D"/>
        </w:rPr>
        <w:t>Deployment Guarantee:</w:t>
      </w:r>
      <w:r>
        <w:t xml:space="preserve"> The LKR 2,500.00 server deployment fee includes setting up production domain configurations, database migration validation, and a 14-day post-launch critical bug support warranty.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