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pPr>
      <w:r>
        <w:rPr>
          <w:b/>
          <w:color w:val="5A6269"/>
          <w:sz w:val="18"/>
        </w:rPr>
        <w:t>PROFESSOR MEETING REPORT</w:t>
      </w:r>
    </w:p>
    <w:p>
      <w:pPr>
        <w:pStyle w:val="Title"/>
      </w:pPr>
      <w:r>
        <w:t>Trust Aware Online Nash Social Welfare Project Story</w:t>
      </w:r>
    </w:p>
    <w:p>
      <w:pPr>
        <w:spacing w:after="360"/>
      </w:pPr>
      <w:r>
        <w:rPr>
          <w:sz w:val="32"/>
        </w:rPr>
        <w:t>Current Frank Wolfe experiment and research position</w:t>
      </w:r>
    </w:p>
    <w:p>
      <w:pPr>
        <w:pStyle w:val="Heading1"/>
      </w:pPr>
      <w:r>
        <w:t>Purpose</w:t>
      </w:r>
    </w:p>
    <w:p>
      <w:r>
        <w:t>This report explains how the project developed from online Nash Social Welfare allocation into a trust-aware allocation experiment. It records the present implementation, the current results, the role of the Frank-Wolfe benchmark, and the research decision to discuss with the professor. Graph descriptions are kept in a separate guide.</w:t>
      </w:r>
    </w:p>
    <w:p>
      <w:pPr>
        <w:pStyle w:val="Heading1"/>
      </w:pPr>
      <w:r>
        <w:t>Current run</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37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7"/>
              </w:rPr>
              <w:t>Setting</w:t>
            </w:r>
          </w:p>
        </w:tc>
        <w:tc>
          <w:tcPr>
            <w:tcW w:type="dxa" w:w="684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7"/>
              </w:rPr>
              <w:t>Value</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Horizon</w:t>
            </w:r>
          </w:p>
        </w:tc>
        <w:tc>
          <w:tcPr>
            <w:tcW w:type="dxa" w:w="68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2,000 rounds plus round 0</w:t>
            </w:r>
          </w:p>
        </w:tc>
      </w:tr>
      <w:tr>
        <w:trPr>
          <w:cantSplit/>
        </w:trPr>
        <w:tc>
          <w:tcPr>
            <w:tcW w:type="dxa" w:w="23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Trials</w:t>
            </w:r>
          </w:p>
        </w:tc>
        <w:tc>
          <w:tcPr>
            <w:tcW w:type="dxa" w:w="684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10 trials for each focused attack</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Population</w:t>
            </w:r>
          </w:p>
        </w:tc>
        <w:tc>
          <w:tcPr>
            <w:tcW w:type="dxa" w:w="68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10 legitimate agents and 4 malicious agents</w:t>
            </w:r>
          </w:p>
        </w:tc>
      </w:tr>
      <w:tr>
        <w:trPr>
          <w:cantSplit/>
        </w:trPr>
        <w:tc>
          <w:tcPr>
            <w:tcW w:type="dxa" w:w="23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Attacks</w:t>
            </w:r>
          </w:p>
        </w:tc>
        <w:tc>
          <w:tcPr>
            <w:tcW w:type="dxa" w:w="684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Byzantine, Burst, Reputation Poison, and Trust Mimicry</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Allocation</w:t>
            </w:r>
          </w:p>
        </w:tc>
        <w:tc>
          <w:tcPr>
            <w:tcW w:type="dxa" w:w="68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Alpha equals 0.50</w:t>
            </w:r>
          </w:p>
        </w:tc>
      </w:tr>
      <w:tr>
        <w:trPr>
          <w:cantSplit/>
        </w:trPr>
        <w:tc>
          <w:tcPr>
            <w:tcW w:type="dxa" w:w="237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Moradi graph</w:t>
            </w:r>
          </w:p>
        </w:tc>
        <w:tc>
          <w:tcPr>
            <w:tcW w:type="dxa" w:w="684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Sigma equals 0.60 with a count-free shadow decision every 20 rounds</w:t>
            </w:r>
          </w:p>
        </w:tc>
      </w:tr>
      <w:tr>
        <w:trPr>
          <w:cantSplit/>
        </w:trPr>
        <w:tc>
          <w:tcPr>
            <w:tcW w:type="dxa" w:w="237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7"/>
              </w:rPr>
              <w:t>Offline benchmark</w:t>
            </w:r>
          </w:p>
        </w:tc>
        <w:tc>
          <w:tcPr>
            <w:tcW w:type="dxa" w:w="68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7"/>
              </w:rPr>
              <w:t>Cached Frank-Wolfe using the complete 2,000-round sequence</w:t>
            </w:r>
          </w:p>
        </w:tc>
      </w:tr>
    </w:tbl>
    <w:p>
      <w:pPr>
        <w:spacing w:after="0"/>
      </w:pPr>
    </w:p>
    <w:p>
      <w:r>
        <w:br w:type="page"/>
      </w:r>
    </w:p>
    <w:p>
      <w:pPr>
        <w:pStyle w:val="Heading1"/>
      </w:pPr>
      <w:r>
        <w:t>1 Project Story</w:t>
      </w:r>
    </w:p>
    <w:p>
      <w:pPr>
        <w:pStyle w:val="Heading2"/>
      </w:pPr>
      <w:r>
        <w:t>Online allocation</w:t>
      </w:r>
    </w:p>
    <w:p>
      <w:r>
        <w:t>The project begins with an online allocation problem. One unit of resource arrives in each round, agents report valuations, and the allocator must act immediately. The objective is Nash Social Welfare over legitimate agents, calculated as the geometric mean of their cumulative utilities.</w:t>
      </w:r>
    </w:p>
    <w:p>
      <w:pPr>
        <w:pStyle w:val="Heading2"/>
      </w:pPr>
      <w:r>
        <w:t>Malicious reporting</w:t>
      </w:r>
    </w:p>
    <w:p>
      <w:r>
        <w:t>The adversarial extension allows malicious agents to distort the values seen by the allocator. Because the allocator responds to reported values, an attacker that remains eligible can compete for resource while the evaluation continues to measure welfare only for the legitimate agents.</w:t>
      </w:r>
    </w:p>
    <w:p>
      <w:pPr>
        <w:pStyle w:val="Heading2"/>
      </w:pPr>
      <w:r>
        <w:t>Active trust gate</w:t>
      </w:r>
    </w:p>
    <w:p>
      <w:r>
        <w:t>Algorithm 1 is the active detector. Each legitimate observer accumulates beta trust evidence and compares every agent with its best current reference. A majority vote combines the local decisions. Agents in the resulting detected set are removed from the allocation eligibility set.</w:t>
      </w:r>
    </w:p>
    <w:p>
      <w:pPr>
        <w:pStyle w:val="Heading2"/>
      </w:pPr>
      <w:r>
        <w:t>Shadow Moradi graph</w:t>
      </w:r>
    </w:p>
    <w:p>
      <w:r>
        <w:t>The Moradi layer combines normalized trust affinity with similarity between report histories. Its current sparsest-subgraph decision searches for a separated low-degree strict minority without receiving the number of malicious agents. The decision is recomputed every 20 rounds and recorded for evaluation, but it does not change allocation.</w:t>
      </w:r>
    </w:p>
    <w:p>
      <w:pPr>
        <w:pStyle w:val="Heading2"/>
      </w:pPr>
      <w:r>
        <w:t>Frank Wolfe benchmark</w:t>
      </w:r>
    </w:p>
    <w:p>
      <w:r>
        <w:t>The offline benchmark sees the complete legitimate valuation sequence before allocating. The current code uses a cached Frank-Wolfe solver instead of SLSQP so the benchmark can be computed within the larger multi-trial experiment. The same full-horizon offline value is used as the denominator of the every-round progress ratio.</w:t>
      </w:r>
    </w:p>
    <w:p>
      <w:pPr>
        <w:pStyle w:val="Heading1"/>
      </w:pPr>
      <w:r>
        <w:t>2 Current Pipeline</w:t>
      </w:r>
    </w:p>
    <w:tbl>
      <w:tblPr>
        <w:tblW w:type="auto" w:w="0"/>
        <w:jc w:val="center"/>
        <w:tblLayout w:type="fixed"/>
        <w:tblLook w:firstColumn="1" w:firstRow="1" w:lastColumn="0" w:lastRow="0" w:noHBand="0" w:noVBand="1" w:val="04A0"/>
      </w:tblPr>
      <w:tblGrid>
        <w:gridCol w:w="5083"/>
        <w:gridCol w:w="5083"/>
      </w:tblGrid>
      <w:tr>
        <w:trPr>
          <w:tblHeader w:val="true"/>
          <w:cantSplit/>
        </w:trPr>
        <w:tc>
          <w:tcPr>
            <w:tcW w:type="dxa" w:w="244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Stage</w:t>
            </w:r>
          </w:p>
        </w:tc>
        <w:tc>
          <w:tcPr>
            <w:tcW w:type="dxa" w:w="6768"/>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Role</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True valuations</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Generate the values used to measure actual utility.</w:t>
            </w:r>
          </w:p>
        </w:tc>
      </w:tr>
      <w:tr>
        <w:trPr>
          <w:cantSplit/>
        </w:trPr>
        <w:tc>
          <w:tcPr>
            <w:tcW w:type="dxa" w:w="244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Malicious reports</w:t>
            </w:r>
          </w:p>
        </w:tc>
        <w:tc>
          <w:tcPr>
            <w:tcW w:type="dxa" w:w="676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Transform the reports presented to the online allocator.</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Trust observations</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Generate and accumulate the beta evidence used by Algorithm 1.</w:t>
            </w:r>
          </w:p>
        </w:tc>
      </w:tr>
      <w:tr>
        <w:trPr>
          <w:cantSplit/>
        </w:trPr>
        <w:tc>
          <w:tcPr>
            <w:tcW w:type="dxa" w:w="244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Majority decision</w:t>
            </w:r>
          </w:p>
        </w:tc>
        <w:tc>
          <w:tcPr>
            <w:tcW w:type="dxa" w:w="676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Create the active detected set from the legitimate observers.</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Online allocation</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Allocate the round's unit resource among eligible agents.</w:t>
            </w:r>
          </w:p>
        </w:tc>
      </w:tr>
      <w:tr>
        <w:trPr>
          <w:cantSplit/>
        </w:trPr>
        <w:tc>
          <w:tcPr>
            <w:tcW w:type="dxa" w:w="244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Utility update</w:t>
            </w:r>
          </w:p>
        </w:tc>
        <w:tc>
          <w:tcPr>
            <w:tcW w:type="dxa" w:w="676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Update legitimate cumulative utilities and NSW.</w:t>
            </w:r>
          </w:p>
        </w:tc>
      </w:tr>
      <w:tr>
        <w:trPr>
          <w:cantSplit/>
        </w:trPr>
        <w:tc>
          <w:tcPr>
            <w:tcW w:type="dxa" w:w="244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Shadow graph</w:t>
            </w:r>
          </w:p>
        </w:tc>
        <w:tc>
          <w:tcPr>
            <w:tcW w:type="dxa" w:w="6768"/>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Record the count-free Moradi decision without changing allocation.</w:t>
            </w:r>
          </w:p>
        </w:tc>
      </w:tr>
      <w:tr>
        <w:trPr>
          <w:cantSplit/>
        </w:trPr>
        <w:tc>
          <w:tcPr>
            <w:tcW w:type="dxa" w:w="244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Offline evaluation</w:t>
            </w:r>
          </w:p>
        </w:tc>
        <w:tc>
          <w:tcPr>
            <w:tcW w:type="dxa" w:w="6768"/>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Compare online progress with the full-information Frank-Wolfe benchmark.</w:t>
            </w:r>
          </w:p>
        </w:tc>
      </w:tr>
    </w:tbl>
    <w:p>
      <w:pPr>
        <w:spacing w:after="0"/>
      </w:pPr>
    </w:p>
    <w:p>
      <w:r>
        <w:br w:type="page"/>
      </w:r>
    </w:p>
    <w:p>
      <w:pPr>
        <w:pStyle w:val="Heading1"/>
      </w:pPr>
      <w:r>
        <w:t>3 Current Results</w:t>
      </w:r>
    </w:p>
    <w:tbl>
      <w:tblPr>
        <w:tblW w:type="auto" w:w="0"/>
        <w:jc w:val="center"/>
        <w:tblLayout w:type="fixed"/>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Attack</w:t>
            </w:r>
          </w:p>
        </w:tc>
        <w:tc>
          <w:tcPr>
            <w:tcW w:type="dxa" w:w="180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Online NSW</w:t>
            </w:r>
          </w:p>
        </w:tc>
        <w:tc>
          <w:tcPr>
            <w:tcW w:type="dxa" w:w="165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Final ratio</w:t>
            </w:r>
          </w:p>
        </w:tc>
        <w:tc>
          <w:tcPr>
            <w:tcW w:type="dxa" w:w="122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Alg 1 DR</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Alg 1 FPR</w:t>
            </w:r>
          </w:p>
        </w:tc>
        <w:tc>
          <w:tcPr>
            <w:tcW w:type="dxa" w:w="129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5"/>
              </w:rPr>
              <w:t>Moradi DR</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Byzantine</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26.538 ± 0.075</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0.680 ± 0.001</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r>
      <w:tr>
        <w:trPr>
          <w:cantSplit/>
        </w:trPr>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Burst</w:t>
            </w:r>
          </w:p>
        </w:tc>
        <w:tc>
          <w:tcPr>
            <w:tcW w:type="dxa" w:w="180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26.108 ± 0.124</w:t>
            </w:r>
          </w:p>
        </w:tc>
        <w:tc>
          <w:tcPr>
            <w:tcW w:type="dxa" w:w="165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0.669 ± 0.003</w:t>
            </w:r>
          </w:p>
        </w:tc>
        <w:tc>
          <w:tcPr>
            <w:tcW w:type="dxa" w:w="122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c>
          <w:tcPr>
            <w:tcW w:type="dxa" w:w="129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r>
      <w:tr>
        <w:trPr>
          <w:cantSplit/>
        </w:trPr>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Reputation Poison</w:t>
            </w:r>
          </w:p>
        </w:tc>
        <w:tc>
          <w:tcPr>
            <w:tcW w:type="dxa" w:w="180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20.586 ± 0.125</w:t>
            </w:r>
          </w:p>
        </w:tc>
        <w:tc>
          <w:tcPr>
            <w:tcW w:type="dxa" w:w="165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0.527 ± 0.003</w:t>
            </w:r>
          </w:p>
        </w:tc>
        <w:tc>
          <w:tcPr>
            <w:tcW w:type="dxa" w:w="122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r>
      <w:tr>
        <w:trPr>
          <w:cantSplit/>
        </w:trPr>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5"/>
              </w:rPr>
              <w:t>Trust Mimicry</w:t>
            </w:r>
          </w:p>
        </w:tc>
        <w:tc>
          <w:tcPr>
            <w:tcW w:type="dxa" w:w="180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20.585 ± 0.127</w:t>
            </w:r>
          </w:p>
        </w:tc>
        <w:tc>
          <w:tcPr>
            <w:tcW w:type="dxa" w:w="165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0.527 ± 0.003</w:t>
            </w:r>
          </w:p>
        </w:tc>
        <w:tc>
          <w:tcPr>
            <w:tcW w:type="dxa" w:w="122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0.000</w:t>
            </w:r>
          </w:p>
        </w:tc>
        <w:tc>
          <w:tcPr>
            <w:tcW w:type="dxa" w:w="129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5"/>
              </w:rPr>
              <w:t>1.000</w:t>
            </w:r>
          </w:p>
        </w:tc>
      </w:tr>
    </w:tbl>
    <w:p>
      <w:pPr>
        <w:spacing w:after="0"/>
      </w:pPr>
    </w:p>
    <w:p>
      <w:r>
        <w:t>The full-horizon offline NSW is 39.039 plus or minus 0.120. Algorithm 1 finishes with full detection and zero false positives for Byzantine and Burst. It finishes with zero detection for Reputation Poison and Trust Mimicry. The shadow Moradi decision finishes with full detection for all four attacks.</w:t>
      </w:r>
    </w:p>
    <w:p>
      <w:pPr>
        <w:pStyle w:val="Heading2"/>
      </w:pPr>
      <w:r>
        <w:t>Measured comparison with no detection</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cantSplit/>
        </w:trPr>
        <w:tc>
          <w:tcPr>
            <w:tcW w:type="dxa" w:w="223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Attack</w:t>
            </w:r>
          </w:p>
        </w:tc>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No detection NSW</w:t>
            </w:r>
          </w:p>
        </w:tc>
        <w:tc>
          <w:tcPr>
            <w:tcW w:type="dxa" w:w="194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Active gate NSW</w:t>
            </w:r>
          </w:p>
        </w:tc>
        <w:tc>
          <w:tcPr>
            <w:tcW w:type="dxa" w:w="1512"/>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Change</w:t>
            </w:r>
          </w:p>
        </w:tc>
        <w:tc>
          <w:tcPr>
            <w:tcW w:type="dxa" w:w="1584"/>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Relative change</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Byzantine</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13.443</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26.538</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+13.096</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+97.4%</w:t>
            </w:r>
          </w:p>
        </w:tc>
      </w:tr>
      <w:tr>
        <w:trPr>
          <w:cantSplit/>
        </w:trPr>
        <w:tc>
          <w:tcPr>
            <w:tcW w:type="dxa" w:w="22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Burst</w:t>
            </w:r>
          </w:p>
        </w:tc>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17.878</w:t>
            </w:r>
          </w:p>
        </w:tc>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26.108</w:t>
            </w:r>
          </w:p>
        </w:tc>
        <w:tc>
          <w:tcPr>
            <w:tcW w:type="dxa" w:w="151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+8.230</w:t>
            </w:r>
          </w:p>
        </w:tc>
        <w:tc>
          <w:tcPr>
            <w:tcW w:type="dxa" w:w="158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+46.0%</w:t>
            </w:r>
          </w:p>
        </w:tc>
      </w:tr>
      <w:tr>
        <w:trPr>
          <w:cantSplit/>
        </w:trPr>
        <w:tc>
          <w:tcPr>
            <w:tcW w:type="dxa" w:w="223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Reputation Poison</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20.586</w:t>
            </w:r>
          </w:p>
        </w:tc>
        <w:tc>
          <w:tcPr>
            <w:tcW w:type="dxa" w:w="194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20.586</w:t>
            </w:r>
          </w:p>
        </w:tc>
        <w:tc>
          <w:tcPr>
            <w:tcW w:type="dxa" w:w="1512"/>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-0.0001</w:t>
            </w:r>
          </w:p>
        </w:tc>
        <w:tc>
          <w:tcPr>
            <w:tcW w:type="dxa" w:w="1584"/>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about zero</w:t>
            </w:r>
          </w:p>
        </w:tc>
      </w:tr>
      <w:tr>
        <w:trPr>
          <w:cantSplit/>
        </w:trPr>
        <w:tc>
          <w:tcPr>
            <w:tcW w:type="dxa" w:w="223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Trust Mimicry</w:t>
            </w:r>
          </w:p>
        </w:tc>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20.582</w:t>
            </w:r>
          </w:p>
        </w:tc>
        <w:tc>
          <w:tcPr>
            <w:tcW w:type="dxa" w:w="194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20.585</w:t>
            </w:r>
          </w:p>
        </w:tc>
        <w:tc>
          <w:tcPr>
            <w:tcW w:type="dxa" w:w="1512"/>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+0.0025</w:t>
            </w:r>
          </w:p>
        </w:tc>
        <w:tc>
          <w:tcPr>
            <w:tcW w:type="dxa" w:w="1584"/>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+0.01%</w:t>
            </w:r>
          </w:p>
        </w:tc>
      </w:tr>
    </w:tbl>
    <w:p>
      <w:pPr>
        <w:spacing w:after="0"/>
      </w:pPr>
    </w:p>
    <w:p>
      <w:r>
        <w:t>The active gate raises legitimate NSW by 97.4 percent for Byzantine and 46.0 percent for Burst. Reputation Poison and Trust Mimicry remain effectively unchanged because Algorithm 1 does not remove them from allocation. These comparisons measure the effect of the active Algorithm 1 gate. They do not measure a Moradi welfare effect because Moradi remains outside the allocation loop.</w:t>
      </w:r>
    </w:p>
    <w:p>
      <w:r>
        <w:br w:type="page"/>
      </w:r>
    </w:p>
    <w:p>
      <w:pPr>
        <w:pStyle w:val="Heading1"/>
      </w:pPr>
      <w:r>
        <w:t>4 Current Research Position</w:t>
      </w:r>
    </w:p>
    <w:p>
      <w:r>
        <w:t>The current experiment supports a trust-aware online NSW baseline. It shows how an active detector can protect legitimate welfare when accumulated trust evidence crosses its threshold, and it also identifies two stealth attacks that remain eligible under that rule.</w:t>
      </w:r>
    </w:p>
    <w:p>
      <w:r>
        <w:t>The count-free Moradi graph records detector coverage for all four focused attacks, including the two stealth attacks. The next experiment must connect that signal to allocation before the project can claim a Moradi welfare effect.</w:t>
      </w:r>
    </w:p>
    <w:p>
      <w:pPr>
        <w:pStyle w:val="Heading2"/>
      </w:pPr>
      <w:r>
        <w:t>Decision for the next experiment</w:t>
      </w:r>
    </w:p>
    <w:tbl>
      <w:tblPr>
        <w:tblW w:type="auto" w:w="0"/>
        <w:jc w:val="center"/>
        <w:tblLayout w:type="fixed"/>
        <w:tblLook w:firstColumn="1" w:firstRow="1" w:lastColumn="0" w:lastRow="0" w:noHBand="0" w:noVBand="1" w:val="04A0"/>
      </w:tblPr>
      <w:tblGrid>
        <w:gridCol w:w="3389"/>
        <w:gridCol w:w="3389"/>
        <w:gridCol w:w="3389"/>
      </w:tblGrid>
      <w:tr>
        <w:trPr>
          <w:tblHeader w:val="true"/>
          <w:cantSplit/>
        </w:trPr>
        <w:tc>
          <w:tcPr>
            <w:tcW w:type="dxa" w:w="2016"/>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Variant</w:t>
            </w:r>
          </w:p>
        </w:tc>
        <w:tc>
          <w:tcPr>
            <w:tcW w:type="dxa" w:w="324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Allocation use</w:t>
            </w:r>
          </w:p>
        </w:tc>
        <w:tc>
          <w:tcPr>
            <w:tcW w:type="dxa" w:w="3960"/>
            <w:shd w:fill="17365D"/>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jc w:val="center"/>
            </w:pPr>
            <w:r>
              <w:rPr>
                <w:b/>
                <w:color w:val="FFFFFF"/>
                <w:sz w:val="16"/>
              </w:rPr>
              <w:t>Purpose</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Algorithm 1 only</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Keep the current hard gate</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Retain the reference condition.</w:t>
            </w:r>
          </w:p>
        </w:tc>
      </w:tr>
      <w:tr>
        <w:trPr>
          <w:cantSplit/>
        </w:trPr>
        <w:tc>
          <w:tcPr>
            <w:tcW w:type="dxa" w:w="2016"/>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Combined hard gate</w:t>
            </w:r>
          </w:p>
        </w:tc>
        <w:tc>
          <w:tcPr>
            <w:tcW w:type="dxa" w:w="324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Exclude agents flagged by either detector</w:t>
            </w:r>
          </w:p>
        </w:tc>
        <w:tc>
          <w:tcPr>
            <w:tcW w:type="dxa" w:w="3960"/>
            <w:shd w:fill="F4F6F7"/>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Measure the welfare and false-positive effect of direct graph exclusion.</w:t>
            </w:r>
          </w:p>
        </w:tc>
      </w:tr>
      <w:tr>
        <w:trPr>
          <w:cantSplit/>
        </w:trPr>
        <w:tc>
          <w:tcPr>
            <w:tcW w:type="dxa" w:w="2016"/>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left"/>
            </w:pPr>
            <w:r>
              <w:rPr>
                <w:b/>
                <w:sz w:val="16"/>
              </w:rPr>
              <w:t>Moradi soft risk</w:t>
            </w:r>
          </w:p>
        </w:tc>
        <w:tc>
          <w:tcPr>
            <w:tcW w:type="dxa" w:w="324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Discount the greedy allocation weight of low-score agents</w:t>
            </w:r>
          </w:p>
        </w:tc>
        <w:tc>
          <w:tcPr>
            <w:tcW w:type="dxa" w:w="3960"/>
            <w:shd w:fill="FFFFFF"/>
            <w:tcBorders>
              <w:top w:val="single" w:sz="4" w:color="D9D9D9"/>
              <w:left w:val="single" w:sz="4" w:color="D9D9D9"/>
              <w:bottom w:val="single" w:sz="4" w:color="D9D9D9"/>
              <w:right w:val="single" w:sz="4" w:color="D9D9D9"/>
              <w:insideH w:val="single" w:sz="4" w:color="D9D9D9"/>
              <w:insideV w:val="single" w:sz="4" w:color="D9D9D9"/>
            </w:tcBorders>
            <w:tcMar>
              <w:top w:w="100" w:type="dxa"/>
              <w:start w:w="110" w:type="dxa"/>
              <w:bottom w:w="100" w:type="dxa"/>
              <w:end w:w="110" w:type="dxa"/>
            </w:tcMar>
            <w:vAlign w:val="center"/>
          </w:tcPr>
          <w:p>
            <w:pPr>
              <w:spacing w:line="240" w:lineRule="auto"/>
              <w:jc w:val="center"/>
            </w:pPr>
            <w:r>
              <w:rPr>
                <w:sz w:val="16"/>
              </w:rPr>
              <w:t>Measure whether graph evidence can reduce stealth-attack exposure without immediate hard removal.</w:t>
            </w:r>
          </w:p>
        </w:tc>
      </w:tr>
    </w:tbl>
    <w:p>
      <w:pPr>
        <w:spacing w:after="0"/>
      </w:pPr>
    </w:p>
    <w:p>
      <w:pPr>
        <w:pStyle w:val="Heading2"/>
      </w:pPr>
      <w:r>
        <w:t>Questions for the professor</w:t>
      </w:r>
    </w:p>
    <w:p>
      <w:pPr>
        <w:ind w:left="360" w:hanging="360"/>
      </w:pPr>
      <w:r>
        <w:rPr>
          <w:b/>
        </w:rPr>
        <w:t xml:space="preserve">1.  </w:t>
      </w:r>
      <w:r>
        <w:t>Should Moradi be tested first as a hard gate, a soft allocation weight, or both?</w:t>
      </w:r>
    </w:p>
    <w:p>
      <w:pPr>
        <w:ind w:left="360" w:hanging="360"/>
      </w:pPr>
      <w:r>
        <w:rPr>
          <w:b/>
        </w:rPr>
        <w:t xml:space="preserve">2.  </w:t>
      </w:r>
      <w:r>
        <w:t>What false-positive criterion should be required before Moradi can affect allocation?</w:t>
      </w:r>
    </w:p>
    <w:p>
      <w:pPr>
        <w:ind w:left="360" w:hanging="360"/>
      </w:pPr>
      <w:r>
        <w:rPr>
          <w:b/>
        </w:rPr>
        <w:t xml:space="preserve">3.  </w:t>
      </w:r>
      <w:r>
        <w:t>Should the four focused attacks remain the main experimental set?</w:t>
      </w:r>
    </w:p>
    <w:p>
      <w:pPr>
        <w:ind w:left="360" w:hanging="360"/>
      </w:pPr>
      <w:r>
        <w:rPr>
          <w:b/>
        </w:rPr>
        <w:t xml:space="preserve">4.  </w:t>
      </w:r>
      <w:r>
        <w:t>Which application should anchor the final presentation of the online allocation problem?</w:t>
      </w:r>
    </w:p>
    <w:sectPr w:rsidR="00FC693F" w:rsidRPr="0006063C" w:rsidSect="00034616">
      <w:footerReference w:type="default" r:id="rId9"/>
      <w:pgSz w:w="12240" w:h="15840"/>
      <w:pgMar w:top="936"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ayout w:type="fixed"/>
      <w:tblLook w:firstColumn="1" w:firstRow="1" w:lastColumn="0" w:lastRow="0" w:noHBand="0" w:noVBand="1" w:val="04A0"/>
    </w:tblPr>
    <w:tblGrid>
      <w:gridCol w:w="8352"/>
      <w:gridCol w:w="1728"/>
    </w:tblGrid>
    <w:tr>
      <w:tc>
        <w:tcPr>
          <w:tcW w:type="dxa" w:w="5040"/>
          <w:tcMar>
            <w:top w:w="0" w:type="dxa"/>
            <w:start w:w="0" w:type="dxa"/>
            <w:bottom w:w="0" w:type="dxa"/>
            <w:end w:w="0" w:type="dxa"/>
          </w:tcMar>
        </w:tcPr>
        <w:p>
          <w:pPr>
            <w:jc w:val="left"/>
          </w:pPr>
          <w:r>
            <w:rPr>
              <w:rFonts w:ascii="Aptos" w:hAnsi="Aptos"/>
              <w:color w:val="5A6269"/>
              <w:sz w:val="16"/>
            </w:rPr>
            <w:t>Trust Aware Online Nash Social Welfare Project</w:t>
          </w:r>
        </w:p>
      </w:tc>
      <w:tc>
        <w:tcPr>
          <w:tcW w:type="dxa" w:w="5040"/>
          <w:tcMar>
            <w:top w:w="0" w:type="dxa"/>
            <w:start w:w="0" w:type="dxa"/>
            <w:bottom w:w="0" w:type="dxa"/>
            <w:end w:w="0" w:type="dxa"/>
          </w:tcMar>
        </w:tcPr>
        <w:p>
          <w:pPr>
            <w:jc w:val="right"/>
          </w:pPr>
          <w:r>
            <w:rPr>
              <w:rFonts w:ascii="Aptos" w:hAnsi="Aptos"/>
              <w:color w:val="5A6269"/>
              <w:sz w:val="16"/>
            </w:rPr>
            <w:t xml:space="preserve">Page </w:t>
          </w:r>
          <w:fldSimple w:instr="PAGE"/>
        </w:p>
      </w:tc>
    </w:tr>
  </w:tbl>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3282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Trust Aware Online Nash Social Welfare Project Story</dc:title>
  <dc:subject>Current Frank Wolfe experiment and research position</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