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EXPLORATORY DATA ANALYSIS</w:t>
        <w:br/>
        <w:t>AND BUSINESS INSIGHTS</w:t>
      </w:r>
    </w:p>
    <w:p>
      <w:pPr>
        <w:jc w:val="center"/>
      </w:pPr>
      <w:r>
        <w:rPr>
          <w:b/>
          <w:sz w:val="28"/>
        </w:rPr>
        <w:t>Superstore Dataset</w:t>
      </w:r>
    </w:p>
    <w:p>
      <w:pPr>
        <w:jc w:val="center"/>
      </w:pPr>
      <w:r>
        <w:rPr>
          <w:sz w:val="21"/>
        </w:rPr>
        <w:t>Prepared by: Khorombi Vhuthuhawe</w:t>
        <w:br/>
        <w:t>Data Analysis Internship — NexAfrica</w:t>
        <w:br/>
        <w:t>Tools: Python, Pandas, NumPy and Matplotlib</w:t>
      </w:r>
    </w:p>
    <w:p/>
    <w:p>
      <w:pPr>
        <w:pStyle w:val="Heading1"/>
      </w:pPr>
      <w:r>
        <w:t>1. Executive Summary</w:t>
      </w:r>
    </w:p>
    <w:p>
      <w:r>
        <w:t>This report summarises the exploratory data analysis (EDA) performed on the cleaned Superstore dataset during Week 2. The purpose of the analysis was to move beyond data cleaning and investigate how sales, profit, discounts, products, categories, regions and time-related factors are distributed and related within the dataset.</w:t>
      </w:r>
    </w:p>
    <w:p>
      <w:r>
        <w:t>The analysis began with descriptive statistics and categorical summaries, then progressed into category and sub-category performance, discount and profitability analysis, correlation analysis, sales-versus-profit analysis, monthly trends, regional performance, and a detailed investigation of the Furniture/Tables sub-category.</w:t>
      </w:r>
    </w:p>
    <w:p>
      <w:r>
        <w:t>A key theme emerging from the documented results is that sales volume and profitability are not necessarily the same. Technology generated strong sales and profit, while Furniture generated substantial sales but a much lower profit margin. Tables was identified as a significant loss-making sub-category and was therefore investigated further by product, region, state and discount.</w:t>
      </w:r>
    </w:p>
    <w:p>
      <w:pPr>
        <w:pStyle w:val="Heading1"/>
      </w:pPr>
      <w:r>
        <w:t>2. Objective</w:t>
      </w:r>
    </w:p>
    <w:p>
      <w:r>
        <w:t>The objective of Week 2 was to explore the cleaned dataset and identify patterns, trends, relationships, anomalies and meaningful business insights. The notebook was designed to produce an EDA notebook, visualisations, a summary of findings, at least five data-driven insights, and an updated analysis dataset.</w:t>
      </w:r>
    </w:p>
    <w:p>
      <w:pPr>
        <w:pStyle w:val="Heading1"/>
      </w:pPr>
      <w:r>
        <w:t>3. Dataset and Analysis Approach</w:t>
      </w:r>
    </w:p>
    <w:p>
      <w:r>
        <w:t>The notebook uses the Week 1 cleaned Superstore dataset, loaded as superstore_cleaned.csv. The Order Date and Ship Date fields are converted to datetime format before analysis. The analysis uses Pandas for data manipulation, NumPy for numerical work, and Matplotlib for visualisation.</w:t>
      </w:r>
    </w:p>
    <w:p>
      <w:pPr>
        <w:pStyle w:val="ListBullet"/>
      </w:pPr>
      <w:r>
        <w:t>Initial dataset overview, including shape, data types, missing values and duplicate records.</w:t>
      </w:r>
    </w:p>
    <w:p>
      <w:pPr>
        <w:pStyle w:val="ListBullet"/>
      </w:pPr>
      <w:r>
        <w:t>Descriptive statistics for sales, quantity, discount and profit.</w:t>
      </w:r>
    </w:p>
    <w:p>
      <w:pPr>
        <w:pStyle w:val="ListBullet"/>
      </w:pPr>
      <w:r>
        <w:t>Frequency analysis of categorical variables such as category, sub-category, segment, region and ship mode.</w:t>
      </w:r>
    </w:p>
    <w:p>
      <w:pPr>
        <w:pStyle w:val="ListBullet"/>
      </w:pPr>
      <w:r>
        <w:t>Category and sub-category sales, profit and profit-margin analysis.</w:t>
      </w:r>
    </w:p>
    <w:p>
      <w:pPr>
        <w:pStyle w:val="ListBullet"/>
      </w:pPr>
      <w:r>
        <w:t>Discount-level analysis using total profit, profit margin and average profit per record.</w:t>
      </w:r>
    </w:p>
    <w:p>
      <w:pPr>
        <w:pStyle w:val="ListBullet"/>
      </w:pPr>
      <w:r>
        <w:t>Correlation analysis for sales, quantity, discount and profit.</w:t>
      </w:r>
    </w:p>
    <w:p>
      <w:pPr>
        <w:pStyle w:val="ListBullet"/>
      </w:pPr>
      <w:r>
        <w:t>Sales-versus-profit scatter analysis.</w:t>
      </w:r>
    </w:p>
    <w:p>
      <w:pPr>
        <w:pStyle w:val="ListBullet"/>
      </w:pPr>
      <w:r>
        <w:t>Monthly sales and profit trend analysis.</w:t>
      </w:r>
    </w:p>
    <w:p>
      <w:pPr>
        <w:pStyle w:val="ListBullet"/>
      </w:pPr>
      <w:r>
        <w:t>Regional performance analysis.</w:t>
      </w:r>
    </w:p>
    <w:p>
      <w:pPr>
        <w:pStyle w:val="ListBullet"/>
      </w:pPr>
      <w:r>
        <w:t>Detailed drill-down of Furniture and Tables, including products, regions, states and discounts.</w:t>
      </w:r>
    </w:p>
    <w:p>
      <w:pPr>
        <w:pStyle w:val="ListBullet"/>
      </w:pPr>
      <w:r>
        <w:t>Identification of the top loss-making products.</w:t>
      </w:r>
    </w:p>
    <w:p>
      <w:pPr>
        <w:pStyle w:val="Heading1"/>
      </w:pPr>
      <w:r>
        <w:t>4. Overall Business Performance</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Documented result</w:t>
            </w:r>
          </w:p>
        </w:tc>
      </w:tr>
      <w:tr>
        <w:tc>
          <w:tcPr>
            <w:tcW w:type="dxa" w:w="4968"/>
          </w:tcPr>
          <w:p>
            <w:r>
              <w:t>Total Sales</w:t>
            </w:r>
          </w:p>
        </w:tc>
        <w:tc>
          <w:tcPr>
            <w:tcW w:type="dxa" w:w="4968"/>
          </w:tcPr>
          <w:p>
            <w:r>
              <w:t>Approximately $2.30 million</w:t>
            </w:r>
          </w:p>
        </w:tc>
      </w:tr>
      <w:tr>
        <w:tc>
          <w:tcPr>
            <w:tcW w:type="dxa" w:w="4968"/>
          </w:tcPr>
          <w:p>
            <w:r>
              <w:t>Total Profit</w:t>
            </w:r>
          </w:p>
        </w:tc>
        <w:tc>
          <w:tcPr>
            <w:tcW w:type="dxa" w:w="4968"/>
          </w:tcPr>
          <w:p>
            <w:r>
              <w:t>Approximately $286.40 thousand</w:t>
            </w:r>
          </w:p>
        </w:tc>
      </w:tr>
      <w:tr>
        <w:tc>
          <w:tcPr>
            <w:tcW w:type="dxa" w:w="4968"/>
          </w:tcPr>
          <w:p>
            <w:r>
              <w:t>Overall Profit Margin</w:t>
            </w:r>
          </w:p>
        </w:tc>
        <w:tc>
          <w:tcPr>
            <w:tcW w:type="dxa" w:w="4968"/>
          </w:tcPr>
          <w:p>
            <w:r>
              <w:t>Approximately 12.47%</w:t>
            </w:r>
          </w:p>
        </w:tc>
      </w:tr>
    </w:tbl>
    <w:p>
      <w:r>
        <w:t>These figures provide the high-level baseline for the rest of the EDA. The analysis then examines how this overall result is distributed across product categories, sub-categories, discounts and locations.</w:t>
      </w:r>
    </w:p>
    <w:p>
      <w:pPr>
        <w:pStyle w:val="Heading1"/>
      </w:pPr>
      <w:r>
        <w:t>5. Category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Sales</w:t>
            </w:r>
          </w:p>
        </w:tc>
        <w:tc>
          <w:tcPr>
            <w:tcW w:type="dxa" w:w="2484"/>
          </w:tcPr>
          <w:p>
            <w:r>
              <w:t>Profit</w:t>
            </w:r>
          </w:p>
        </w:tc>
        <w:tc>
          <w:tcPr>
            <w:tcW w:type="dxa" w:w="2484"/>
          </w:tcPr>
          <w:p>
            <w:r>
              <w:t>Profit Margin</w:t>
            </w:r>
          </w:p>
        </w:tc>
      </w:tr>
      <w:tr>
        <w:tc>
          <w:tcPr>
            <w:tcW w:type="dxa" w:w="2484"/>
          </w:tcPr>
          <w:p>
            <w:r>
              <w:t>Technology</w:t>
            </w:r>
          </w:p>
        </w:tc>
        <w:tc>
          <w:tcPr>
            <w:tcW w:type="dxa" w:w="2484"/>
          </w:tcPr>
          <w:p>
            <w:r>
              <w:t>≈ $836.15k</w:t>
            </w:r>
          </w:p>
        </w:tc>
        <w:tc>
          <w:tcPr>
            <w:tcW w:type="dxa" w:w="2484"/>
          </w:tcPr>
          <w:p>
            <w:r>
              <w:t>≈ $145.45k</w:t>
            </w:r>
          </w:p>
        </w:tc>
        <w:tc>
          <w:tcPr>
            <w:tcW w:type="dxa" w:w="2484"/>
          </w:tcPr>
          <w:p>
            <w:r>
              <w:t>≈ 17.40%</w:t>
            </w:r>
          </w:p>
        </w:tc>
      </w:tr>
      <w:tr>
        <w:tc>
          <w:tcPr>
            <w:tcW w:type="dxa" w:w="2484"/>
          </w:tcPr>
          <w:p>
            <w:r>
              <w:t>Furniture</w:t>
            </w:r>
          </w:p>
        </w:tc>
        <w:tc>
          <w:tcPr>
            <w:tcW w:type="dxa" w:w="2484"/>
          </w:tcPr>
          <w:p>
            <w:r>
              <w:t>≈ $742.00k</w:t>
            </w:r>
          </w:p>
        </w:tc>
        <w:tc>
          <w:tcPr>
            <w:tcW w:type="dxa" w:w="2484"/>
          </w:tcPr>
          <w:p>
            <w:r>
              <w:t>≈ $18.45k</w:t>
            </w:r>
          </w:p>
        </w:tc>
        <w:tc>
          <w:tcPr>
            <w:tcW w:type="dxa" w:w="2484"/>
          </w:tcPr>
          <w:p>
            <w:r>
              <w:t>≈ 2.49%</w:t>
            </w:r>
          </w:p>
        </w:tc>
      </w:tr>
      <w:tr>
        <w:tc>
          <w:tcPr>
            <w:tcW w:type="dxa" w:w="2484"/>
          </w:tcPr>
          <w:p>
            <w:r>
              <w:t>Office Supplies</w:t>
            </w:r>
          </w:p>
        </w:tc>
        <w:tc>
          <w:tcPr>
            <w:tcW w:type="dxa" w:w="2484"/>
          </w:tcPr>
          <w:p>
            <w:r>
              <w:t>≈ $719.05k</w:t>
            </w:r>
          </w:p>
        </w:tc>
        <w:tc>
          <w:tcPr>
            <w:tcW w:type="dxa" w:w="2484"/>
          </w:tcPr>
          <w:p>
            <w:r>
              <w:t>≈ $122.49k</w:t>
            </w:r>
          </w:p>
        </w:tc>
        <w:tc>
          <w:tcPr>
            <w:tcW w:type="dxa" w:w="2484"/>
          </w:tcPr>
          <w:p>
            <w:r>
              <w:t>≈ 17.04%</w:t>
            </w:r>
          </w:p>
        </w:tc>
      </w:tr>
    </w:tbl>
    <w:p>
      <w:r>
        <w:t>Technology has the highest documented sales and profit among the three categories. Furniture also generates a large amount of sales, but its documented profit margin is substantially lower. This demonstrates why profit and profit margin should be examined alongside sales rather than using sales alone as a measure of performance.</w:t>
      </w:r>
    </w:p>
    <w:p>
      <w:pPr>
        <w:pStyle w:val="Heading1"/>
      </w:pPr>
      <w:r>
        <w:t>6. Sub-Category Analysis</w:t>
      </w:r>
    </w:p>
    <w:p>
      <w:r>
        <w:t>The notebook compares all sub-categories using total sales, total profit and calculated profit margin. The analysis is sorted by profit so that areas requiring further investigation can be identified. The Furniture category is then examined in more detail.</w:t>
      </w:r>
    </w:p>
    <w:p>
      <w:r>
        <w:t>The Tables sub-category is documented as a significant loss area, generating approximately $206.97 thousand in sales but approximately -$17.73 thousand in profit. This finding led to the deeper product, regional, state and discount analysis.</w:t>
      </w:r>
    </w:p>
    <w:p>
      <w:pPr>
        <w:pStyle w:val="Heading1"/>
      </w:pPr>
      <w:r>
        <w:t>7. Discount and Profitability Analysis</w:t>
      </w:r>
    </w:p>
    <w:p>
      <w:r>
        <w:t>The notebook groups transactions by discount level and calculates total sales, total profit and profit margin. It also calculates average profit per record at each discount level. This allows the analysis to examine whether profitability changes across discount levels.</w:t>
      </w:r>
    </w:p>
    <w:p>
      <w:r>
        <w:t>The documented findings show that some higher discount levels are associated with negative profit. However, the notebook correctly states that this association does not establish that discounts caused the losses. Product mix, region, order size and other factors may also contribute to the observed results.</w:t>
      </w:r>
    </w:p>
    <w:p>
      <w:r>
        <w:t>For this reason, the discount analysis is used as a starting point for further investigation rather than as proof of a causal relationship.</w:t>
      </w:r>
    </w:p>
    <w:p>
      <w:pPr>
        <w:pStyle w:val="Heading1"/>
      </w:pPr>
      <w:r>
        <w:t>8. Correlation and Relationship Analysis</w:t>
      </w:r>
    </w:p>
    <w:p>
      <w:r>
        <w:t>A correlation matrix is calculated for sales, quantity, discount and profit. The notebook also creates a scatter plot comparing sales and profit. These analyses are intended to identify the direction and strength of linear relationships between numerical variables.</w:t>
      </w:r>
    </w:p>
    <w:p>
      <w:r>
        <w:t>The notebook explains that correlation does not establish causation. Because the uploaded notebook contains the analysis code and not the executed numerical correlation output, this report does not assign specific correlation coefficients that are not documented in the source.</w:t>
      </w:r>
    </w:p>
    <w:p>
      <w:pPr>
        <w:pStyle w:val="Heading1"/>
      </w:pPr>
      <w:r>
        <w:t>9. Time-Based Analysis</w:t>
      </w:r>
    </w:p>
    <w:p>
      <w:r>
        <w:t>Order dates are resampled by month to calculate monthly sales and profit. Separate visualisations are produced for the sales trend and profit trend. This provides a way to examine how business performance changes over time.</w:t>
      </w:r>
    </w:p>
    <w:p>
      <w:r>
        <w:t>The notebook includes the monthly trend analysis, but the uploaded source does not document specific months or numerical turning points in its written findings. Therefore, this report treats the time-series section as an analysis performed rather than adding unsupported conclusions about particular months.</w:t>
      </w:r>
    </w:p>
    <w:p>
      <w:pPr>
        <w:pStyle w:val="Heading1"/>
      </w:pPr>
      <w:r>
        <w:t>10. Regional Performance</w:t>
      </w:r>
    </w:p>
    <w:p>
      <w:r>
        <w:t>Regional analysis groups the dataset by region and calculates sales, profit and profit margin. The notebook then uses this result to investigate the Tables sub-category in more detail.</w:t>
      </w:r>
    </w:p>
    <w:p>
      <w:r>
        <w:t>The East region is selected for a further Tables drill-down because the notebook identifies a negative result for Tables in that region. The investigation then moves from region to product, discount and state.</w:t>
      </w:r>
    </w:p>
    <w:p>
      <w:pPr>
        <w:pStyle w:val="Heading1"/>
      </w:pPr>
      <w:r>
        <w:t>11. Tables — Detailed Investigation</w:t>
      </w:r>
    </w:p>
    <w:p>
      <w:r>
        <w:t>The Tables investigation is the most detailed part of the EDA. The analysis follows a structured drill-down:</w:t>
      </w:r>
    </w:p>
    <w:p>
      <w:pPr>
        <w:pStyle w:val="ListBullet"/>
      </w:pPr>
      <w:r>
        <w:t>Furniture → identify sub-category performance.</w:t>
      </w:r>
    </w:p>
    <w:p>
      <w:pPr>
        <w:pStyle w:val="ListBullet"/>
      </w:pPr>
      <w:r>
        <w:t>Tables → examine profitability by discount.</w:t>
      </w:r>
    </w:p>
    <w:p>
      <w:pPr>
        <w:pStyle w:val="ListBullet"/>
      </w:pPr>
      <w:r>
        <w:t>Tables → identify individual products with the lowest profit.</w:t>
      </w:r>
    </w:p>
    <w:p>
      <w:pPr>
        <w:pStyle w:val="ListBullet"/>
      </w:pPr>
      <w:r>
        <w:t>Tables → compare regional performance.</w:t>
      </w:r>
    </w:p>
    <w:p>
      <w:pPr>
        <w:pStyle w:val="ListBullet"/>
      </w:pPr>
      <w:r>
        <w:t>East Tables → examine products, discounts and states.</w:t>
      </w:r>
    </w:p>
    <w:p>
      <w:pPr>
        <w:pStyle w:val="ListBullet"/>
      </w:pPr>
      <w:r>
        <w:t>New York, Ohio and Pennsylvania → examine performance at different discount levels.</w:t>
      </w:r>
    </w:p>
    <w:p>
      <w:pPr>
        <w:pStyle w:val="Heading1"/>
      </w:pPr>
      <w:r>
        <w:t>12. East Tables: State and Discount Findings</w:t>
      </w:r>
    </w:p>
    <w:p>
      <w:r>
        <w:t>The notebook focuses on New York, Ohio and Pennsylvania within the East-region Tables segment. At a 40% discount, the documented results are approximately: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State</w:t>
            </w:r>
          </w:p>
        </w:tc>
        <w:tc>
          <w:tcPr>
            <w:tcW w:type="dxa" w:w="3312"/>
          </w:tcPr>
          <w:p>
            <w:r>
              <w:t>Discount</w:t>
            </w:r>
          </w:p>
        </w:tc>
        <w:tc>
          <w:tcPr>
            <w:tcW w:type="dxa" w:w="3312"/>
          </w:tcPr>
          <w:p>
            <w:r>
              <w:t>Profit</w:t>
            </w:r>
          </w:p>
        </w:tc>
      </w:tr>
      <w:tr>
        <w:tc>
          <w:tcPr>
            <w:tcW w:type="dxa" w:w="3312"/>
          </w:tcPr>
          <w:p>
            <w:r>
              <w:t>New York</w:t>
            </w:r>
          </w:p>
        </w:tc>
        <w:tc>
          <w:tcPr>
            <w:tcW w:type="dxa" w:w="3312"/>
          </w:tcPr>
          <w:p>
            <w:r>
              <w:t>40%</w:t>
            </w:r>
          </w:p>
        </w:tc>
        <w:tc>
          <w:tcPr>
            <w:tcW w:type="dxa" w:w="3312"/>
          </w:tcPr>
          <w:p>
            <w:r>
              <w:t>≈ -$4,535.64</w:t>
            </w:r>
          </w:p>
        </w:tc>
      </w:tr>
      <w:tr>
        <w:tc>
          <w:tcPr>
            <w:tcW w:type="dxa" w:w="3312"/>
          </w:tcPr>
          <w:p>
            <w:r>
              <w:t>Ohio</w:t>
            </w:r>
          </w:p>
        </w:tc>
        <w:tc>
          <w:tcPr>
            <w:tcW w:type="dxa" w:w="3312"/>
          </w:tcPr>
          <w:p>
            <w:r>
              <w:t>40%</w:t>
            </w:r>
          </w:p>
        </w:tc>
        <w:tc>
          <w:tcPr>
            <w:tcW w:type="dxa" w:w="3312"/>
          </w:tcPr>
          <w:p>
            <w:r>
              <w:t>≈ -$2,715.33</w:t>
            </w:r>
          </w:p>
        </w:tc>
      </w:tr>
      <w:tr>
        <w:tc>
          <w:tcPr>
            <w:tcW w:type="dxa" w:w="3312"/>
          </w:tcPr>
          <w:p>
            <w:r>
              <w:t>Pennsylvania</w:t>
            </w:r>
          </w:p>
        </w:tc>
        <w:tc>
          <w:tcPr>
            <w:tcW w:type="dxa" w:w="3312"/>
          </w:tcPr>
          <w:p>
            <w:r>
              <w:t>40%</w:t>
            </w:r>
          </w:p>
        </w:tc>
        <w:tc>
          <w:tcPr>
            <w:tcW w:type="dxa" w:w="3312"/>
          </w:tcPr>
          <w:p>
            <w:r>
              <w:t>≈ -$2,588.75</w:t>
            </w:r>
          </w:p>
        </w:tc>
      </w:tr>
    </w:tbl>
    <w:p>
      <w:r>
        <w:t>These results show that the loss pattern is not limited to one location within the investigated segment. The notebook therefore moves toward a product-and-location level investigation rather than relying only on an overall discount average.</w:t>
      </w:r>
    </w:p>
    <w:p>
      <w:pPr>
        <w:pStyle w:val="Heading1"/>
      </w:pPr>
      <w:r>
        <w:t>13. Product-Level Analysis</w:t>
      </w:r>
    </w:p>
    <w:p>
      <w:r>
        <w:t>The notebook identifies the ten products with the lowest total profit and visualises them. This step is important because aggregated category results can hide substantial differences between individual products.</w:t>
      </w:r>
    </w:p>
    <w:p>
      <w:r>
        <w:t>The documented analysis found individual loss-making products within Tables, including products with losses exceeding $1,000. The source does not provide a complete numeric table of all ten products in its written findings, so this report does not add values that are not documented.</w:t>
      </w:r>
    </w:p>
    <w:p>
      <w:pPr>
        <w:pStyle w:val="Heading1"/>
      </w:pPr>
      <w:r>
        <w:t>14. Key Data-Driven Insights</w:t>
      </w:r>
    </w:p>
    <w:p>
      <w:pPr>
        <w:pStyle w:val="ListNumber"/>
      </w:pPr>
      <w:r>
        <w:rPr>
          <w:b/>
        </w:rPr>
        <w:t xml:space="preserve">Overall profitability: </w:t>
      </w:r>
      <w:r>
        <w:t>The dataset records approximately $2.30 million in sales and approximately $286.40 thousand in profit, giving an overall profit margin of approximately 12.47%.</w:t>
      </w:r>
    </w:p>
    <w:p>
      <w:pPr>
        <w:pStyle w:val="ListNumber"/>
      </w:pPr>
      <w:r>
        <w:rPr>
          <w:b/>
        </w:rPr>
        <w:t xml:space="preserve">Technology performance: </w:t>
      </w:r>
      <w:r>
        <w:t>Technology records approximately $836.15 thousand in sales and $145.45 thousand in profit, with a documented profit margin of approximately 17.40%.</w:t>
      </w:r>
    </w:p>
    <w:p>
      <w:pPr>
        <w:pStyle w:val="ListNumber"/>
      </w:pPr>
      <w:r>
        <w:rPr>
          <w:b/>
        </w:rPr>
        <w:t xml:space="preserve">Furniture profitability: </w:t>
      </w:r>
      <w:r>
        <w:t>Furniture records approximately $742.00 thousand in sales but only approximately $18.45 thousand in profit, resulting in a much lower documented profit margin of approximately 2.49%.</w:t>
      </w:r>
    </w:p>
    <w:p>
      <w:pPr>
        <w:pStyle w:val="ListNumber"/>
      </w:pPr>
      <w:r>
        <w:rPr>
          <w:b/>
        </w:rPr>
        <w:t xml:space="preserve">Tables as a loss area: </w:t>
      </w:r>
      <w:r>
        <w:t>Tables records approximately $206.97 thousand in sales and approximately -$17.73 thousand in profit, making it a major area for further investigation.</w:t>
      </w:r>
    </w:p>
    <w:p>
      <w:pPr>
        <w:pStyle w:val="ListNumber"/>
      </w:pPr>
      <w:r>
        <w:rPr>
          <w:b/>
        </w:rPr>
        <w:t xml:space="preserve">Discount relationship: </w:t>
      </w:r>
      <w:r>
        <w:t>Some higher discount levels are associated with negative profit. The analysis does not establish that discounting caused the losses.</w:t>
      </w:r>
    </w:p>
    <w:p>
      <w:pPr>
        <w:pStyle w:val="ListNumber"/>
      </w:pPr>
      <w:r>
        <w:rPr>
          <w:b/>
        </w:rPr>
        <w:t xml:space="preserve">Geographic concentration in the investigated segment: </w:t>
      </w:r>
      <w:r>
        <w:t>Within East-region Tables, New York, Ohio and Pennsylvania show documented losses at 40% discount, indicating that the issue warrants product-and-location-level investigation.</w:t>
      </w:r>
    </w:p>
    <w:p>
      <w:pPr>
        <w:pStyle w:val="ListNumber"/>
      </w:pPr>
      <w:r>
        <w:rPr>
          <w:b/>
        </w:rPr>
        <w:t xml:space="preserve">Product-level variation: </w:t>
      </w:r>
      <w:r>
        <w:t>Individual products can materially affect sub-category profitability, supporting the use of category → sub-category → product drill-down analysis.</w:t>
      </w:r>
    </w:p>
    <w:p>
      <w:pPr>
        <w:pStyle w:val="Heading1"/>
      </w:pPr>
      <w:r>
        <w:t>15. Business Questions Addressed</w:t>
      </w:r>
    </w:p>
    <w:p>
      <w:r>
        <w:rPr>
          <w:b/>
        </w:rPr>
        <w:t>Which category generates the most sales?</w:t>
      </w:r>
      <w:r>
        <w:br/>
        <w:t>The category comparison identifies Technology as the category with the highest documented sales.</w:t>
      </w:r>
    </w:p>
    <w:p>
      <w:r>
        <w:rPr>
          <w:b/>
        </w:rPr>
        <w:t>Which category is most profitable?</w:t>
      </w:r>
      <w:r>
        <w:br/>
        <w:t>The category comparison identifies Technology as having the highest documented total profit.</w:t>
      </w:r>
    </w:p>
    <w:p>
      <w:r>
        <w:rPr>
          <w:b/>
        </w:rPr>
        <w:t>Does high sales always mean high profit?</w:t>
      </w:r>
      <w:r>
        <w:br/>
        <w:t>No. Furniture provides an example of high sales combined with a much lower profit margin.</w:t>
      </w:r>
    </w:p>
    <w:p>
      <w:r>
        <w:rPr>
          <w:b/>
        </w:rPr>
        <w:t>Are some discount levels associated with losses?</w:t>
      </w:r>
      <w:r>
        <w:br/>
        <w:t>Yes. The discount analysis identifies discount levels where total or average profit is negative; the result is an association, not proof of causation.</w:t>
      </w:r>
    </w:p>
    <w:p>
      <w:r>
        <w:rPr>
          <w:b/>
        </w:rPr>
        <w:t>Where are important loss areas?</w:t>
      </w:r>
      <w:r>
        <w:br/>
        <w:t>The analysis highlights Tables and then drills down into selected products, regions, states and discount levels.</w:t>
      </w:r>
    </w:p>
    <w:p>
      <w:pPr>
        <w:pStyle w:val="Heading1"/>
      </w:pPr>
      <w:r>
        <w:t>16. Analysis Outputs and Deliverables</w:t>
      </w:r>
    </w:p>
    <w:p>
      <w:pPr>
        <w:pStyle w:val="ListBullet"/>
      </w:pPr>
      <w:r>
        <w:t>EDA notebook containing the full analysis workflow and visualisations.</w:t>
      </w:r>
    </w:p>
    <w:p>
      <w:pPr>
        <w:pStyle w:val="ListBullet"/>
      </w:pPr>
      <w:r>
        <w:t>Category, sub-category, discount, regional and product summary tables.</w:t>
      </w:r>
    </w:p>
    <w:p>
      <w:pPr>
        <w:pStyle w:val="ListBullet"/>
      </w:pPr>
      <w:r>
        <w:t>Visualisations for category performance, discount profitability, correlation, sales/profit relationships, monthly trends, regional performance and loss-making products.</w:t>
      </w:r>
    </w:p>
    <w:p>
      <w:pPr>
        <w:pStyle w:val="ListBullet"/>
      </w:pPr>
      <w:r>
        <w:t>Summary of at least five data-driven insights.</w:t>
      </w:r>
    </w:p>
    <w:p>
      <w:pPr>
        <w:pStyle w:val="ListBullet"/>
      </w:pPr>
      <w:r>
        <w:t>Updated analysis dataset with derived order year, order month, month name and shipping-day fields.</w:t>
      </w:r>
    </w:p>
    <w:p>
      <w:pPr>
        <w:pStyle w:val="ListBullet"/>
      </w:pPr>
      <w:r>
        <w:t>Exported CSV summary tables for use in further reporting or Excel analysis.</w:t>
      </w:r>
    </w:p>
    <w:p>
      <w:pPr>
        <w:pStyle w:val="Heading1"/>
      </w:pPr>
      <w:r>
        <w:t>17. Limitations and Interpretation Notes</w:t>
      </w:r>
    </w:p>
    <w:p>
      <w:pPr>
        <w:pStyle w:val="ListBullet"/>
      </w:pPr>
      <w:r>
        <w:t>The EDA identifies associations and patterns; it does not by itself prove causation.</w:t>
      </w:r>
    </w:p>
    <w:p>
      <w:pPr>
        <w:pStyle w:val="ListBullet"/>
      </w:pPr>
      <w:r>
        <w:t>A high discount level may occur alongside other factors such as product mix, geography or order size.</w:t>
      </w:r>
    </w:p>
    <w:p>
      <w:pPr>
        <w:pStyle w:val="ListBullet"/>
      </w:pPr>
      <w:r>
        <w:t>The source notebook contains code for correlation and time-series analysis but does not include all of the resulting numerical outputs in its written findings; therefore, this report does not invent those values.</w:t>
      </w:r>
    </w:p>
    <w:p>
      <w:pPr>
        <w:pStyle w:val="ListBullet"/>
      </w:pPr>
      <w:r>
        <w:t>Potentially loss-making observations should be investigated in context rather than removed automatically.</w:t>
      </w:r>
    </w:p>
    <w:p>
      <w:pPr>
        <w:pStyle w:val="Heading1"/>
      </w:pPr>
      <w:r>
        <w:t>18. Conclusion</w:t>
      </w:r>
    </w:p>
    <w:p>
      <w:r>
        <w:t>Week 2 developed the Week 1 cleaned dataset into an exploratory analysis that moves from high-level business performance to detailed investigation of specific problem areas. The analysis demonstrates that sales volume alone does not describe profitability: category, sub-category, discount, product and geography all provide additional context.</w:t>
      </w:r>
    </w:p>
    <w:p>
      <w:r>
        <w:t>The most detailed finding is the identification of Tables as a significant loss area, followed by a drill-down into East-region Tables and selected states and discount levels. This provides a clear basis for further analysis in the next stage of the project.</w:t>
      </w:r>
    </w:p>
    <w:p>
      <w:r>
        <w:t>Overall, the EDA provides an evidence-based starting point for asking more detailed business questions and developing recommendations from the Superstore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EDA — Superstore Dataset | Khorombi Vhuthuhawe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