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68C83"/>
          <w:sz w:val="24"/>
        </w:rPr>
        <w:t>NEXAFRICA DATA ANALYST INTERNSHIP</w:t>
      </w:r>
    </w:p>
    <w:p>
      <w:pPr>
        <w:pStyle w:val="Title"/>
        <w:jc w:val="center"/>
      </w:pPr>
      <w:r>
        <w:t>Superstore Sales &amp;</w:t>
        <w:br/>
        <w:t>Profitability Analysis</w:t>
      </w:r>
    </w:p>
    <w:p>
      <w:pPr>
        <w:jc w:val="center"/>
      </w:pPr>
      <w:r>
        <w:rPr>
          <w:color w:val="556273"/>
          <w:sz w:val="30"/>
        </w:rPr>
        <w:t>Week 5 Final Data Analysis Capstone Report</w:t>
      </w:r>
    </w:p>
    <w:p>
      <w:pPr>
        <w:spacing w:before="600"/>
        <w:jc w:val="center"/>
      </w:pPr>
      <w:r>
        <w:rPr>
          <w:b/>
          <w:sz w:val="24"/>
        </w:rPr>
        <w:t>Prepared by: Khorombi Vhuthuhawe</w:t>
      </w:r>
    </w:p>
    <w:p>
      <w:pPr>
        <w:jc w:val="center"/>
      </w:pPr>
      <w:r>
        <w:rPr>
          <w:sz w:val="20"/>
        </w:rPr>
        <w:t>Tools: Python, Pandas, SQL (SQLite), Power BI</w:t>
      </w:r>
    </w:p>
    <w:p>
      <w:pPr>
        <w:spacing w:before="2000"/>
        <w:jc w:val="center"/>
      </w:pPr>
      <w:r>
        <w:rPr>
          <w:color w:val="646E78"/>
          <w:sz w:val="18"/>
        </w:rPr>
        <w:t>Prepared October 2026</w:t>
      </w:r>
    </w:p>
    <w:p>
      <w:r>
        <w:br w:type="page"/>
      </w:r>
    </w:p>
    <w:p>
      <w:pPr>
        <w:pStyle w:val="Heading1"/>
      </w:pPr>
      <w:r>
        <w:t>1. Executive Summary</w:t>
      </w:r>
    </w:p>
    <w:p>
      <w:r>
        <w:t>This project analyses 9,994 Superstore transaction records to understand sales performance, profitability, discount patterns, product-level losses, regional differences, and time trends. The cleaned dataset contains 21 columns, with 0 missing values and 0 duplicate rows at the final validation check. Total sales are $2,297,200.86, total profit is $286,397.02, and total quantity is 37,873 units. Overall profit margin, calculated as total profit divided by total sales, is 12.47%.</w:t>
      </w:r>
    </w:p>
    <w:p>
      <w:r>
        <w:t>Technology is the largest category by sales and profit. Furniture has substantial sales but a much lower margin. Tables is the most prominent loss-making sub-category, with approximately $17.73 thousand in negative profit. Several higher discount levels are associated with aggregate losses. These patterns identify areas for further investigation; they do not prove that discounting caused the losses.</w:t>
      </w:r>
    </w:p>
    <w:p>
      <w:pPr>
        <w:pStyle w:val="Heading1"/>
      </w:pPr>
      <w:r>
        <w:t>2. Business Problem and Objectives</w:t>
      </w:r>
    </w:p>
    <w:p>
      <w:pPr>
        <w:pStyle w:val="Heading2"/>
      </w:pPr>
      <w:r>
        <w:t>Business problem</w:t>
      </w:r>
    </w:p>
    <w:p>
      <w:r>
        <w:t>The business needs a clearer view of where revenue and profit are generated and where profitability risks may exist. Sales volume alone does not reveal whether products, categories, discount levels, or regions contribute positively to profit.</w:t>
      </w:r>
    </w:p>
    <w:p>
      <w:pPr>
        <w:pStyle w:val="Heading2"/>
      </w:pPr>
      <w:r>
        <w:t>Project objective</w:t>
      </w:r>
    </w:p>
    <w:p>
      <w:r>
        <w:t>Use data cleaning, exploratory analysis, SQL queries, and an interactive Power BI dashboard to summarise performance, identify patterns and risks, and develop practical recommendations supported by the dataset.</w:t>
      </w:r>
    </w:p>
    <w:p>
      <w:pPr>
        <w:pStyle w:val="Heading2"/>
      </w:pPr>
      <w:r>
        <w:t>Analytical objectives</w:t>
      </w:r>
    </w:p>
    <w:p>
      <w:pPr>
        <w:pStyle w:val="ListBullet"/>
        <w:spacing w:after="40"/>
      </w:pPr>
      <w:r>
        <w:t>Prepare a consistent dataset suitable for analysis.</w:t>
      </w:r>
    </w:p>
    <w:p>
      <w:pPr>
        <w:pStyle w:val="ListBullet"/>
        <w:spacing w:after="40"/>
      </w:pPr>
      <w:r>
        <w:t>Calculate core performance KPIs and compare categories, sub-categories, regions, discounts, and products.</w:t>
      </w:r>
    </w:p>
    <w:p>
      <w:pPr>
        <w:pStyle w:val="ListBullet"/>
        <w:spacing w:after="40"/>
      </w:pPr>
      <w:r>
        <w:t>Use SQL to answer business questions from the transaction table.</w:t>
      </w:r>
    </w:p>
    <w:p>
      <w:pPr>
        <w:pStyle w:val="ListBullet"/>
        <w:spacing w:after="40"/>
      </w:pPr>
      <w:r>
        <w:t>Present results in clear visualisations and an interactive dashboard.</w:t>
      </w:r>
    </w:p>
    <w:p>
      <w:pPr>
        <w:pStyle w:val="ListBullet"/>
        <w:spacing w:after="40"/>
      </w:pPr>
      <w:r>
        <w:t>Translate findings into recommendations while acknowledging data and analytical limitations.</w:t>
      </w:r>
    </w:p>
    <w:p>
      <w:pPr>
        <w:pStyle w:val="Heading1"/>
      </w:pPr>
      <w:r>
        <w:t>3. Dataset and Methodology</w:t>
      </w:r>
    </w:p>
    <w:p>
      <w:r>
        <w:t>The project uses the provided Superstore CSV and its cleaned version. The cleaned file contains 9,994 rows and 21 columns, including order and shipping dates, customer and geographic attributes, product categories, sales, quantity, discount, and profit. The order-date range is 03 January 2014 to 30 December 2017.</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Aptos" w:hAnsi="Aptos"/>
                <w:b/>
                <w:color w:val="FFFFFF"/>
                <w:sz w:val="17"/>
              </w:rPr>
              <w:t>Stage</w:t>
            </w:r>
          </w:p>
        </w:tc>
        <w:tc>
          <w:tcPr>
            <w:tcW w:type="dxa" w:w="3360"/>
            <w:vAlign w:val="center"/>
            <w:shd w:fill="17365D"/>
          </w:tcPr>
          <w:p>
            <w:pPr>
              <w:spacing w:after="0"/>
            </w:pPr>
            <w:r/>
            <w:r>
              <w:rPr>
                <w:rFonts w:ascii="Aptos" w:hAnsi="Aptos"/>
                <w:b/>
                <w:color w:val="FFFFFF"/>
                <w:sz w:val="17"/>
              </w:rPr>
              <w:t>Tools / approach</w:t>
            </w:r>
          </w:p>
        </w:tc>
        <w:tc>
          <w:tcPr>
            <w:tcW w:type="dxa" w:w="3360"/>
            <w:vAlign w:val="center"/>
            <w:shd w:fill="17365D"/>
          </w:tcPr>
          <w:p>
            <w:pPr>
              <w:spacing w:after="0"/>
            </w:pPr>
            <w:r/>
            <w:r>
              <w:rPr>
                <w:rFonts w:ascii="Aptos" w:hAnsi="Aptos"/>
                <w:b/>
                <w:color w:val="FFFFFF"/>
                <w:sz w:val="17"/>
              </w:rPr>
              <w:t>Output</w:t>
            </w:r>
          </w:p>
        </w:tc>
      </w:tr>
      <w:tr>
        <w:tc>
          <w:tcPr>
            <w:tcW w:type="dxa" w:w="3360"/>
            <w:vAlign w:val="center"/>
          </w:tcPr>
          <w:p>
            <w:pPr>
              <w:spacing w:after="0"/>
            </w:pPr>
            <w:r/>
            <w:r>
              <w:rPr>
                <w:rFonts w:ascii="Aptos" w:hAnsi="Aptos"/>
                <w:b w:val="0"/>
                <w:sz w:val="16"/>
              </w:rPr>
              <w:t>Data collection and inspection</w:t>
            </w:r>
          </w:p>
        </w:tc>
        <w:tc>
          <w:tcPr>
            <w:tcW w:type="dxa" w:w="3360"/>
            <w:vAlign w:val="center"/>
          </w:tcPr>
          <w:p>
            <w:pPr>
              <w:spacing w:after="0"/>
            </w:pPr>
            <w:r/>
            <w:r>
              <w:rPr>
                <w:rFonts w:ascii="Aptos" w:hAnsi="Aptos"/>
                <w:b w:val="0"/>
                <w:sz w:val="16"/>
              </w:rPr>
              <w:t>CSV, Pandas</w:t>
            </w:r>
          </w:p>
        </w:tc>
        <w:tc>
          <w:tcPr>
            <w:tcW w:type="dxa" w:w="3360"/>
            <w:vAlign w:val="center"/>
          </w:tcPr>
          <w:p>
            <w:pPr>
              <w:spacing w:after="0"/>
            </w:pPr>
            <w:r/>
            <w:r>
              <w:rPr>
                <w:rFonts w:ascii="Aptos" w:hAnsi="Aptos"/>
                <w:b w:val="0"/>
                <w:sz w:val="16"/>
              </w:rPr>
              <w:t>Raw dataset profile and field checks</w:t>
            </w:r>
          </w:p>
        </w:tc>
      </w:tr>
      <w:tr>
        <w:tc>
          <w:tcPr>
            <w:tcW w:type="dxa" w:w="3360"/>
            <w:vAlign w:val="center"/>
            <w:shd w:fill="F1F4F8"/>
          </w:tcPr>
          <w:p>
            <w:pPr>
              <w:spacing w:after="0"/>
            </w:pPr>
            <w:r/>
            <w:r>
              <w:rPr>
                <w:rFonts w:ascii="Aptos" w:hAnsi="Aptos"/>
                <w:b w:val="0"/>
                <w:sz w:val="16"/>
              </w:rPr>
              <w:t>Data cleaning</w:t>
            </w:r>
          </w:p>
        </w:tc>
        <w:tc>
          <w:tcPr>
            <w:tcW w:type="dxa" w:w="3360"/>
            <w:vAlign w:val="center"/>
            <w:shd w:fill="F1F4F8"/>
          </w:tcPr>
          <w:p>
            <w:pPr>
              <w:spacing w:after="0"/>
            </w:pPr>
            <w:r/>
            <w:r>
              <w:rPr>
                <w:rFonts w:ascii="Aptos" w:hAnsi="Aptos"/>
                <w:b w:val="0"/>
                <w:sz w:val="16"/>
              </w:rPr>
              <w:t>Python, Pandas, NumPy</w:t>
            </w:r>
          </w:p>
        </w:tc>
        <w:tc>
          <w:tcPr>
            <w:tcW w:type="dxa" w:w="3360"/>
            <w:vAlign w:val="center"/>
            <w:shd w:fill="F1F4F8"/>
          </w:tcPr>
          <w:p>
            <w:pPr>
              <w:spacing w:after="0"/>
            </w:pPr>
            <w:r/>
            <w:r>
              <w:rPr>
                <w:rFonts w:ascii="Aptos" w:hAnsi="Aptos"/>
                <w:b w:val="0"/>
                <w:sz w:val="16"/>
              </w:rPr>
              <w:t>Standardised columns, parsed dates, quality checks, cleaned CSV</w:t>
            </w:r>
          </w:p>
        </w:tc>
      </w:tr>
      <w:tr>
        <w:tc>
          <w:tcPr>
            <w:tcW w:type="dxa" w:w="3360"/>
            <w:vAlign w:val="center"/>
          </w:tcPr>
          <w:p>
            <w:pPr>
              <w:spacing w:after="0"/>
            </w:pPr>
            <w:r/>
            <w:r>
              <w:rPr>
                <w:rFonts w:ascii="Aptos" w:hAnsi="Aptos"/>
                <w:b w:val="0"/>
                <w:sz w:val="16"/>
              </w:rPr>
              <w:t>Exploratory analysis</w:t>
            </w:r>
          </w:p>
        </w:tc>
        <w:tc>
          <w:tcPr>
            <w:tcW w:type="dxa" w:w="3360"/>
            <w:vAlign w:val="center"/>
          </w:tcPr>
          <w:p>
            <w:pPr>
              <w:spacing w:after="0"/>
            </w:pPr>
            <w:r/>
            <w:r>
              <w:rPr>
                <w:rFonts w:ascii="Aptos" w:hAnsi="Aptos"/>
                <w:b w:val="0"/>
                <w:sz w:val="16"/>
              </w:rPr>
              <w:t>Pandas, NumPy, Matplotlib</w:t>
            </w:r>
          </w:p>
        </w:tc>
        <w:tc>
          <w:tcPr>
            <w:tcW w:type="dxa" w:w="3360"/>
            <w:vAlign w:val="center"/>
          </w:tcPr>
          <w:p>
            <w:pPr>
              <w:spacing w:after="0"/>
            </w:pPr>
            <w:r/>
            <w:r>
              <w:rPr>
                <w:rFonts w:ascii="Aptos" w:hAnsi="Aptos"/>
                <w:b w:val="0"/>
                <w:sz w:val="16"/>
              </w:rPr>
              <w:t>Category, sub-category, discount, regional, product and time analysis</w:t>
            </w:r>
          </w:p>
        </w:tc>
      </w:tr>
      <w:tr>
        <w:tc>
          <w:tcPr>
            <w:tcW w:type="dxa" w:w="3360"/>
            <w:vAlign w:val="center"/>
            <w:shd w:fill="F1F4F8"/>
          </w:tcPr>
          <w:p>
            <w:pPr>
              <w:spacing w:after="0"/>
            </w:pPr>
            <w:r/>
            <w:r>
              <w:rPr>
                <w:rFonts w:ascii="Aptos" w:hAnsi="Aptos"/>
                <w:b w:val="0"/>
                <w:sz w:val="16"/>
              </w:rPr>
              <w:t>SQL analysis</w:t>
            </w:r>
          </w:p>
        </w:tc>
        <w:tc>
          <w:tcPr>
            <w:tcW w:type="dxa" w:w="3360"/>
            <w:vAlign w:val="center"/>
            <w:shd w:fill="F1F4F8"/>
          </w:tcPr>
          <w:p>
            <w:pPr>
              <w:spacing w:after="0"/>
            </w:pPr>
            <w:r/>
            <w:r>
              <w:rPr>
                <w:rFonts w:ascii="Aptos" w:hAnsi="Aptos"/>
                <w:b w:val="0"/>
                <w:sz w:val="16"/>
              </w:rPr>
              <w:t>SQLite and SQL queries</w:t>
            </w:r>
          </w:p>
        </w:tc>
        <w:tc>
          <w:tcPr>
            <w:tcW w:type="dxa" w:w="3360"/>
            <w:vAlign w:val="center"/>
            <w:shd w:fill="F1F4F8"/>
          </w:tcPr>
          <w:p>
            <w:pPr>
              <w:spacing w:after="0"/>
            </w:pPr>
            <w:r/>
            <w:r>
              <w:rPr>
                <w:rFonts w:ascii="Aptos" w:hAnsi="Aptos"/>
                <w:b w:val="0"/>
                <w:sz w:val="16"/>
              </w:rPr>
              <w:t>Business-question queries and grouped results</w:t>
            </w:r>
          </w:p>
        </w:tc>
      </w:tr>
      <w:tr>
        <w:tc>
          <w:tcPr>
            <w:tcW w:type="dxa" w:w="3360"/>
            <w:vAlign w:val="center"/>
          </w:tcPr>
          <w:p>
            <w:pPr>
              <w:spacing w:after="0"/>
            </w:pPr>
            <w:r/>
            <w:r>
              <w:rPr>
                <w:rFonts w:ascii="Aptos" w:hAnsi="Aptos"/>
                <w:b w:val="0"/>
                <w:sz w:val="16"/>
              </w:rPr>
              <w:t>Dashboard</w:t>
            </w:r>
          </w:p>
        </w:tc>
        <w:tc>
          <w:tcPr>
            <w:tcW w:type="dxa" w:w="3360"/>
            <w:vAlign w:val="center"/>
          </w:tcPr>
          <w:p>
            <w:pPr>
              <w:spacing w:after="0"/>
            </w:pPr>
            <w:r/>
            <w:r>
              <w:rPr>
                <w:rFonts w:ascii="Aptos" w:hAnsi="Aptos"/>
                <w:b w:val="0"/>
                <w:sz w:val="16"/>
              </w:rPr>
              <w:t>Power BI</w:t>
            </w:r>
          </w:p>
        </w:tc>
        <w:tc>
          <w:tcPr>
            <w:tcW w:type="dxa" w:w="3360"/>
            <w:vAlign w:val="center"/>
          </w:tcPr>
          <w:p>
            <w:pPr>
              <w:spacing w:after="0"/>
            </w:pPr>
            <w:r/>
            <w:r>
              <w:rPr>
                <w:rFonts w:ascii="Aptos" w:hAnsi="Aptos"/>
                <w:b w:val="0"/>
                <w:sz w:val="16"/>
              </w:rPr>
              <w:t>Interactive KPIs, charts, slicers and product analysis</w:t>
            </w:r>
          </w:p>
        </w:tc>
      </w:tr>
    </w:tbl>
    <w:p>
      <w:pPr>
        <w:spacing w:after="20"/>
      </w:pPr>
    </w:p>
    <w:p>
      <w:r>
        <w:t>The supplied cleaning report documents date conversion, missing-value and duplicate checks, column-name standardisation, categorical and numerical checks, and outlier assessment. Negative profit and unusually large sales values were not automatically removed because they may represent valid business outcomes.</w:t>
      </w:r>
    </w:p>
    <w:p>
      <w:pPr>
        <w:pStyle w:val="Heading1"/>
      </w:pPr>
      <w:r>
        <w:t>4. KPIs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Aptos" w:hAnsi="Aptos"/>
                <w:b/>
                <w:color w:val="FFFFFF"/>
                <w:sz w:val="17"/>
              </w:rPr>
              <w:t>KPI</w:t>
            </w:r>
          </w:p>
        </w:tc>
        <w:tc>
          <w:tcPr>
            <w:tcW w:type="dxa" w:w="3360"/>
            <w:vAlign w:val="center"/>
            <w:shd w:fill="17365D"/>
          </w:tcPr>
          <w:p>
            <w:pPr>
              <w:spacing w:after="0"/>
            </w:pPr>
            <w:r/>
            <w:r>
              <w:rPr>
                <w:rFonts w:ascii="Aptos" w:hAnsi="Aptos"/>
                <w:b/>
                <w:color w:val="FFFFFF"/>
                <w:sz w:val="17"/>
              </w:rPr>
              <w:t>Result</w:t>
            </w:r>
          </w:p>
        </w:tc>
        <w:tc>
          <w:tcPr>
            <w:tcW w:type="dxa" w:w="3360"/>
            <w:vAlign w:val="center"/>
            <w:shd w:fill="17365D"/>
          </w:tcPr>
          <w:p>
            <w:pPr>
              <w:spacing w:after="0"/>
            </w:pPr>
            <w:r/>
            <w:r>
              <w:rPr>
                <w:rFonts w:ascii="Aptos" w:hAnsi="Aptos"/>
                <w:b/>
                <w:color w:val="FFFFFF"/>
                <w:sz w:val="17"/>
              </w:rPr>
              <w:t>Definition</w:t>
            </w:r>
          </w:p>
        </w:tc>
      </w:tr>
      <w:tr>
        <w:tc>
          <w:tcPr>
            <w:tcW w:type="dxa" w:w="3360"/>
            <w:vAlign w:val="center"/>
          </w:tcPr>
          <w:p>
            <w:pPr>
              <w:spacing w:after="0"/>
            </w:pPr>
            <w:r/>
            <w:r>
              <w:rPr>
                <w:rFonts w:ascii="Aptos" w:hAnsi="Aptos"/>
                <w:b w:val="0"/>
                <w:sz w:val="16"/>
              </w:rPr>
              <w:t>Total Sales</w:t>
            </w:r>
          </w:p>
        </w:tc>
        <w:tc>
          <w:tcPr>
            <w:tcW w:type="dxa" w:w="3360"/>
            <w:vAlign w:val="center"/>
          </w:tcPr>
          <w:p>
            <w:pPr>
              <w:spacing w:after="0"/>
            </w:pPr>
            <w:r/>
            <w:r>
              <w:rPr>
                <w:rFonts w:ascii="Aptos" w:hAnsi="Aptos"/>
                <w:b w:val="0"/>
                <w:sz w:val="16"/>
              </w:rPr>
              <w:t>$2,297,200.86</w:t>
            </w:r>
          </w:p>
        </w:tc>
        <w:tc>
          <w:tcPr>
            <w:tcW w:type="dxa" w:w="3360"/>
            <w:vAlign w:val="center"/>
          </w:tcPr>
          <w:p>
            <w:pPr>
              <w:spacing w:after="0"/>
            </w:pPr>
            <w:r/>
            <w:r>
              <w:rPr>
                <w:rFonts w:ascii="Aptos" w:hAnsi="Aptos"/>
                <w:b w:val="0"/>
                <w:sz w:val="16"/>
              </w:rPr>
              <w:t>Sum of Sales</w:t>
            </w:r>
          </w:p>
        </w:tc>
      </w:tr>
      <w:tr>
        <w:tc>
          <w:tcPr>
            <w:tcW w:type="dxa" w:w="3360"/>
            <w:vAlign w:val="center"/>
            <w:shd w:fill="F1F4F8"/>
          </w:tcPr>
          <w:p>
            <w:pPr>
              <w:spacing w:after="0"/>
            </w:pPr>
            <w:r/>
            <w:r>
              <w:rPr>
                <w:rFonts w:ascii="Aptos" w:hAnsi="Aptos"/>
                <w:b w:val="0"/>
                <w:sz w:val="16"/>
              </w:rPr>
              <w:t>Total Profit</w:t>
            </w:r>
          </w:p>
        </w:tc>
        <w:tc>
          <w:tcPr>
            <w:tcW w:type="dxa" w:w="3360"/>
            <w:vAlign w:val="center"/>
            <w:shd w:fill="F1F4F8"/>
          </w:tcPr>
          <w:p>
            <w:pPr>
              <w:spacing w:after="0"/>
            </w:pPr>
            <w:r/>
            <w:r>
              <w:rPr>
                <w:rFonts w:ascii="Aptos" w:hAnsi="Aptos"/>
                <w:b w:val="0"/>
                <w:sz w:val="16"/>
              </w:rPr>
              <w:t>$286,397.02</w:t>
            </w:r>
          </w:p>
        </w:tc>
        <w:tc>
          <w:tcPr>
            <w:tcW w:type="dxa" w:w="3360"/>
            <w:vAlign w:val="center"/>
            <w:shd w:fill="F1F4F8"/>
          </w:tcPr>
          <w:p>
            <w:pPr>
              <w:spacing w:after="0"/>
            </w:pPr>
            <w:r/>
            <w:r>
              <w:rPr>
                <w:rFonts w:ascii="Aptos" w:hAnsi="Aptos"/>
                <w:b w:val="0"/>
                <w:sz w:val="16"/>
              </w:rPr>
              <w:t>Sum of Profit</w:t>
            </w:r>
          </w:p>
        </w:tc>
      </w:tr>
      <w:tr>
        <w:tc>
          <w:tcPr>
            <w:tcW w:type="dxa" w:w="3360"/>
            <w:vAlign w:val="center"/>
          </w:tcPr>
          <w:p>
            <w:pPr>
              <w:spacing w:after="0"/>
            </w:pPr>
            <w:r/>
            <w:r>
              <w:rPr>
                <w:rFonts w:ascii="Aptos" w:hAnsi="Aptos"/>
                <w:b w:val="0"/>
                <w:sz w:val="16"/>
              </w:rPr>
              <w:t>Total Quantity</w:t>
            </w:r>
          </w:p>
        </w:tc>
        <w:tc>
          <w:tcPr>
            <w:tcW w:type="dxa" w:w="3360"/>
            <w:vAlign w:val="center"/>
          </w:tcPr>
          <w:p>
            <w:pPr>
              <w:spacing w:after="0"/>
            </w:pPr>
            <w:r/>
            <w:r>
              <w:rPr>
                <w:rFonts w:ascii="Aptos" w:hAnsi="Aptos"/>
                <w:b w:val="0"/>
                <w:sz w:val="16"/>
              </w:rPr>
              <w:t>37,873</w:t>
            </w:r>
          </w:p>
        </w:tc>
        <w:tc>
          <w:tcPr>
            <w:tcW w:type="dxa" w:w="3360"/>
            <w:vAlign w:val="center"/>
          </w:tcPr>
          <w:p>
            <w:pPr>
              <w:spacing w:after="0"/>
            </w:pPr>
            <w:r/>
            <w:r>
              <w:rPr>
                <w:rFonts w:ascii="Aptos" w:hAnsi="Aptos"/>
                <w:b w:val="0"/>
                <w:sz w:val="16"/>
              </w:rPr>
              <w:t>Sum of Quantity</w:t>
            </w:r>
          </w:p>
        </w:tc>
      </w:tr>
      <w:tr>
        <w:tc>
          <w:tcPr>
            <w:tcW w:type="dxa" w:w="3360"/>
            <w:vAlign w:val="center"/>
            <w:shd w:fill="F1F4F8"/>
          </w:tcPr>
          <w:p>
            <w:pPr>
              <w:spacing w:after="0"/>
            </w:pPr>
            <w:r/>
            <w:r>
              <w:rPr>
                <w:rFonts w:ascii="Aptos" w:hAnsi="Aptos"/>
                <w:b w:val="0"/>
                <w:sz w:val="16"/>
              </w:rPr>
              <w:t>Overall Profit Margin</w:t>
            </w:r>
          </w:p>
        </w:tc>
        <w:tc>
          <w:tcPr>
            <w:tcW w:type="dxa" w:w="3360"/>
            <w:vAlign w:val="center"/>
            <w:shd w:fill="F1F4F8"/>
          </w:tcPr>
          <w:p>
            <w:pPr>
              <w:spacing w:after="0"/>
            </w:pPr>
            <w:r/>
            <w:r>
              <w:rPr>
                <w:rFonts w:ascii="Aptos" w:hAnsi="Aptos"/>
                <w:b w:val="0"/>
                <w:sz w:val="16"/>
              </w:rPr>
              <w:t>12.47%</w:t>
            </w:r>
          </w:p>
        </w:tc>
        <w:tc>
          <w:tcPr>
            <w:tcW w:type="dxa" w:w="3360"/>
            <w:vAlign w:val="center"/>
            <w:shd w:fill="F1F4F8"/>
          </w:tcPr>
          <w:p>
            <w:pPr>
              <w:spacing w:after="0"/>
            </w:pPr>
            <w:r/>
            <w:r>
              <w:rPr>
                <w:rFonts w:ascii="Aptos" w:hAnsi="Aptos"/>
                <w:b w:val="0"/>
                <w:sz w:val="16"/>
              </w:rPr>
              <w:t>Total Profit ÷ Total Sales</w:t>
            </w:r>
          </w:p>
        </w:tc>
      </w:tr>
    </w:tbl>
    <w:p>
      <w:pPr>
        <w:spacing w:after="20"/>
      </w:pPr>
    </w:p>
    <w:p>
      <w:r>
        <w:t>These are unfiltered dataset totals. In Power BI, slicer selections should change the displayed values when the visuals are connected correctly.</w:t>
      </w:r>
    </w:p>
    <w:p>
      <w:pPr>
        <w:pStyle w:val="Heading1"/>
      </w:pPr>
      <w:r>
        <w:t>5. Exploratory Data Analysis Findings</w:t>
      </w:r>
    </w:p>
    <w:p>
      <w:pPr>
        <w:pStyle w:val="Heading2"/>
      </w:pPr>
      <w:r>
        <w:t>5.1 Category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0"/>
            </w:pPr>
            <w:r/>
            <w:r>
              <w:rPr>
                <w:rFonts w:ascii="Aptos" w:hAnsi="Aptos"/>
                <w:b/>
                <w:color w:val="FFFFFF"/>
                <w:sz w:val="17"/>
              </w:rPr>
              <w:t>Category</w:t>
            </w:r>
          </w:p>
        </w:tc>
        <w:tc>
          <w:tcPr>
            <w:tcW w:type="dxa" w:w="2520"/>
            <w:vAlign w:val="center"/>
            <w:shd w:fill="17365D"/>
          </w:tcPr>
          <w:p>
            <w:pPr>
              <w:spacing w:after="0"/>
            </w:pPr>
            <w:r/>
            <w:r>
              <w:rPr>
                <w:rFonts w:ascii="Aptos" w:hAnsi="Aptos"/>
                <w:b/>
                <w:color w:val="FFFFFF"/>
                <w:sz w:val="17"/>
              </w:rPr>
              <w:t>Sales</w:t>
            </w:r>
          </w:p>
        </w:tc>
        <w:tc>
          <w:tcPr>
            <w:tcW w:type="dxa" w:w="2520"/>
            <w:vAlign w:val="center"/>
            <w:shd w:fill="17365D"/>
          </w:tcPr>
          <w:p>
            <w:pPr>
              <w:spacing w:after="0"/>
            </w:pPr>
            <w:r/>
            <w:r>
              <w:rPr>
                <w:rFonts w:ascii="Aptos" w:hAnsi="Aptos"/>
                <w:b/>
                <w:color w:val="FFFFFF"/>
                <w:sz w:val="17"/>
              </w:rPr>
              <w:t>Profit</w:t>
            </w:r>
          </w:p>
        </w:tc>
        <w:tc>
          <w:tcPr>
            <w:tcW w:type="dxa" w:w="2520"/>
            <w:vAlign w:val="center"/>
            <w:shd w:fill="17365D"/>
          </w:tcPr>
          <w:p>
            <w:pPr>
              <w:spacing w:after="0"/>
            </w:pPr>
            <w:r/>
            <w:r>
              <w:rPr>
                <w:rFonts w:ascii="Aptos" w:hAnsi="Aptos"/>
                <w:b/>
                <w:color w:val="FFFFFF"/>
                <w:sz w:val="17"/>
              </w:rPr>
              <w:t>Profit margin</w:t>
            </w:r>
          </w:p>
        </w:tc>
      </w:tr>
      <w:tr>
        <w:tc>
          <w:tcPr>
            <w:tcW w:type="dxa" w:w="2520"/>
            <w:vAlign w:val="center"/>
          </w:tcPr>
          <w:p>
            <w:pPr>
              <w:spacing w:after="0"/>
            </w:pPr>
            <w:r/>
            <w:r>
              <w:rPr>
                <w:rFonts w:ascii="Aptos" w:hAnsi="Aptos"/>
                <w:b w:val="0"/>
                <w:sz w:val="16"/>
              </w:rPr>
              <w:t>Technology</w:t>
            </w:r>
          </w:p>
        </w:tc>
        <w:tc>
          <w:tcPr>
            <w:tcW w:type="dxa" w:w="2520"/>
            <w:vAlign w:val="center"/>
          </w:tcPr>
          <w:p>
            <w:pPr>
              <w:spacing w:after="0"/>
            </w:pPr>
            <w:r/>
            <w:r>
              <w:rPr>
                <w:rFonts w:ascii="Aptos" w:hAnsi="Aptos"/>
                <w:b w:val="0"/>
                <w:sz w:val="16"/>
              </w:rPr>
              <w:t>$836,154.03</w:t>
            </w:r>
          </w:p>
        </w:tc>
        <w:tc>
          <w:tcPr>
            <w:tcW w:type="dxa" w:w="2520"/>
            <w:vAlign w:val="center"/>
          </w:tcPr>
          <w:p>
            <w:pPr>
              <w:spacing w:after="0"/>
            </w:pPr>
            <w:r/>
            <w:r>
              <w:rPr>
                <w:rFonts w:ascii="Aptos" w:hAnsi="Aptos"/>
                <w:b w:val="0"/>
                <w:sz w:val="16"/>
              </w:rPr>
              <w:t>$145,454.95</w:t>
            </w:r>
          </w:p>
        </w:tc>
        <w:tc>
          <w:tcPr>
            <w:tcW w:type="dxa" w:w="2520"/>
            <w:vAlign w:val="center"/>
          </w:tcPr>
          <w:p>
            <w:pPr>
              <w:spacing w:after="0"/>
            </w:pPr>
            <w:r/>
            <w:r>
              <w:rPr>
                <w:rFonts w:ascii="Aptos" w:hAnsi="Aptos"/>
                <w:b w:val="0"/>
                <w:sz w:val="16"/>
              </w:rPr>
              <w:t>17.40%</w:t>
            </w:r>
          </w:p>
        </w:tc>
      </w:tr>
      <w:tr>
        <w:tc>
          <w:tcPr>
            <w:tcW w:type="dxa" w:w="2520"/>
            <w:vAlign w:val="center"/>
            <w:shd w:fill="F1F4F8"/>
          </w:tcPr>
          <w:p>
            <w:pPr>
              <w:spacing w:after="0"/>
            </w:pPr>
            <w:r/>
            <w:r>
              <w:rPr>
                <w:rFonts w:ascii="Aptos" w:hAnsi="Aptos"/>
                <w:b w:val="0"/>
                <w:sz w:val="16"/>
              </w:rPr>
              <w:t>Furniture</w:t>
            </w:r>
          </w:p>
        </w:tc>
        <w:tc>
          <w:tcPr>
            <w:tcW w:type="dxa" w:w="2520"/>
            <w:vAlign w:val="center"/>
            <w:shd w:fill="F1F4F8"/>
          </w:tcPr>
          <w:p>
            <w:pPr>
              <w:spacing w:after="0"/>
            </w:pPr>
            <w:r/>
            <w:r>
              <w:rPr>
                <w:rFonts w:ascii="Aptos" w:hAnsi="Aptos"/>
                <w:b w:val="0"/>
                <w:sz w:val="16"/>
              </w:rPr>
              <w:t>$741,999.80</w:t>
            </w:r>
          </w:p>
        </w:tc>
        <w:tc>
          <w:tcPr>
            <w:tcW w:type="dxa" w:w="2520"/>
            <w:vAlign w:val="center"/>
            <w:shd w:fill="F1F4F8"/>
          </w:tcPr>
          <w:p>
            <w:pPr>
              <w:spacing w:after="0"/>
            </w:pPr>
            <w:r/>
            <w:r>
              <w:rPr>
                <w:rFonts w:ascii="Aptos" w:hAnsi="Aptos"/>
                <w:b w:val="0"/>
                <w:sz w:val="16"/>
              </w:rPr>
              <w:t>$18,451.27</w:t>
            </w:r>
          </w:p>
        </w:tc>
        <w:tc>
          <w:tcPr>
            <w:tcW w:type="dxa" w:w="2520"/>
            <w:vAlign w:val="center"/>
            <w:shd w:fill="F1F4F8"/>
          </w:tcPr>
          <w:p>
            <w:pPr>
              <w:spacing w:after="0"/>
            </w:pPr>
            <w:r/>
            <w:r>
              <w:rPr>
                <w:rFonts w:ascii="Aptos" w:hAnsi="Aptos"/>
                <w:b w:val="0"/>
                <w:sz w:val="16"/>
              </w:rPr>
              <w:t>2.49%</w:t>
            </w:r>
          </w:p>
        </w:tc>
      </w:tr>
      <w:tr>
        <w:tc>
          <w:tcPr>
            <w:tcW w:type="dxa" w:w="2520"/>
            <w:vAlign w:val="center"/>
          </w:tcPr>
          <w:p>
            <w:pPr>
              <w:spacing w:after="0"/>
            </w:pPr>
            <w:r/>
            <w:r>
              <w:rPr>
                <w:rFonts w:ascii="Aptos" w:hAnsi="Aptos"/>
                <w:b w:val="0"/>
                <w:sz w:val="16"/>
              </w:rPr>
              <w:t>Office Supplies</w:t>
            </w:r>
          </w:p>
        </w:tc>
        <w:tc>
          <w:tcPr>
            <w:tcW w:type="dxa" w:w="2520"/>
            <w:vAlign w:val="center"/>
          </w:tcPr>
          <w:p>
            <w:pPr>
              <w:spacing w:after="0"/>
            </w:pPr>
            <w:r/>
            <w:r>
              <w:rPr>
                <w:rFonts w:ascii="Aptos" w:hAnsi="Aptos"/>
                <w:b w:val="0"/>
                <w:sz w:val="16"/>
              </w:rPr>
              <w:t>$719,047.03</w:t>
            </w:r>
          </w:p>
        </w:tc>
        <w:tc>
          <w:tcPr>
            <w:tcW w:type="dxa" w:w="2520"/>
            <w:vAlign w:val="center"/>
          </w:tcPr>
          <w:p>
            <w:pPr>
              <w:spacing w:after="0"/>
            </w:pPr>
            <w:r/>
            <w:r>
              <w:rPr>
                <w:rFonts w:ascii="Aptos" w:hAnsi="Aptos"/>
                <w:b w:val="0"/>
                <w:sz w:val="16"/>
              </w:rPr>
              <w:t>$122,490.80</w:t>
            </w:r>
          </w:p>
        </w:tc>
        <w:tc>
          <w:tcPr>
            <w:tcW w:type="dxa" w:w="2520"/>
            <w:vAlign w:val="center"/>
          </w:tcPr>
          <w:p>
            <w:pPr>
              <w:spacing w:after="0"/>
            </w:pPr>
            <w:r/>
            <w:r>
              <w:rPr>
                <w:rFonts w:ascii="Aptos" w:hAnsi="Aptos"/>
                <w:b w:val="0"/>
                <w:sz w:val="16"/>
              </w:rPr>
              <w:t>17.04%</w:t>
            </w:r>
          </w:p>
        </w:tc>
      </w:tr>
    </w:tbl>
    <w:p>
      <w:pPr>
        <w:spacing w:after="20"/>
      </w:pPr>
    </w:p>
    <w:p>
      <w:r>
        <w:t>Technology has the highest sales and profit of the three categories, with a margin of approximately 17.40%. Office Supplies also has a strong margin of approximately 17.04%. Furniture records about $742.00 thousand in sales but only about $18.45 thousand in profit, giving it a margin of approximately 2.49%. This demonstrates why sales should be evaluated alongside profit and margin.</w:t>
      </w:r>
    </w:p>
    <w:p>
      <w:pPr>
        <w:pStyle w:val="Heading2"/>
      </w:pPr>
      <w:r>
        <w:t>5.2 Sub-category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Aptos" w:hAnsi="Aptos"/>
                <w:b/>
                <w:color w:val="FFFFFF"/>
                <w:sz w:val="17"/>
              </w:rPr>
              <w:t>Sub-category</w:t>
            </w:r>
          </w:p>
        </w:tc>
        <w:tc>
          <w:tcPr>
            <w:tcW w:type="dxa" w:w="3360"/>
            <w:vAlign w:val="center"/>
            <w:shd w:fill="17365D"/>
          </w:tcPr>
          <w:p>
            <w:pPr>
              <w:spacing w:after="0"/>
            </w:pPr>
            <w:r/>
            <w:r>
              <w:rPr>
                <w:rFonts w:ascii="Aptos" w:hAnsi="Aptos"/>
                <w:b/>
                <w:color w:val="FFFFFF"/>
                <w:sz w:val="17"/>
              </w:rPr>
              <w:t>Sales</w:t>
            </w:r>
          </w:p>
        </w:tc>
        <w:tc>
          <w:tcPr>
            <w:tcW w:type="dxa" w:w="3360"/>
            <w:vAlign w:val="center"/>
            <w:shd w:fill="17365D"/>
          </w:tcPr>
          <w:p>
            <w:pPr>
              <w:spacing w:after="0"/>
            </w:pPr>
            <w:r/>
            <w:r>
              <w:rPr>
                <w:rFonts w:ascii="Aptos" w:hAnsi="Aptos"/>
                <w:b/>
                <w:color w:val="FFFFFF"/>
                <w:sz w:val="17"/>
              </w:rPr>
              <w:t>Profit</w:t>
            </w:r>
          </w:p>
        </w:tc>
      </w:tr>
      <w:tr>
        <w:tc>
          <w:tcPr>
            <w:tcW w:type="dxa" w:w="3360"/>
            <w:vAlign w:val="center"/>
          </w:tcPr>
          <w:p>
            <w:pPr>
              <w:spacing w:after="0"/>
            </w:pPr>
            <w:r/>
            <w:r>
              <w:rPr>
                <w:rFonts w:ascii="Aptos" w:hAnsi="Aptos"/>
                <w:b w:val="0"/>
                <w:sz w:val="16"/>
              </w:rPr>
              <w:t>Tables</w:t>
            </w:r>
          </w:p>
        </w:tc>
        <w:tc>
          <w:tcPr>
            <w:tcW w:type="dxa" w:w="3360"/>
            <w:vAlign w:val="center"/>
          </w:tcPr>
          <w:p>
            <w:pPr>
              <w:spacing w:after="0"/>
            </w:pPr>
            <w:r/>
            <w:r>
              <w:rPr>
                <w:rFonts w:ascii="Aptos" w:hAnsi="Aptos"/>
                <w:b w:val="0"/>
                <w:sz w:val="16"/>
              </w:rPr>
              <w:t>$206,965.53</w:t>
            </w:r>
          </w:p>
        </w:tc>
        <w:tc>
          <w:tcPr>
            <w:tcW w:type="dxa" w:w="3360"/>
            <w:vAlign w:val="center"/>
          </w:tcPr>
          <w:p>
            <w:pPr>
              <w:spacing w:after="0"/>
            </w:pPr>
            <w:r/>
            <w:r>
              <w:rPr>
                <w:rFonts w:ascii="Aptos" w:hAnsi="Aptos"/>
                <w:b w:val="0"/>
                <w:sz w:val="16"/>
              </w:rPr>
              <w:t>$-17,725.48</w:t>
            </w:r>
          </w:p>
        </w:tc>
      </w:tr>
      <w:tr>
        <w:tc>
          <w:tcPr>
            <w:tcW w:type="dxa" w:w="3360"/>
            <w:vAlign w:val="center"/>
            <w:shd w:fill="F1F4F8"/>
          </w:tcPr>
          <w:p>
            <w:pPr>
              <w:spacing w:after="0"/>
            </w:pPr>
            <w:r/>
            <w:r>
              <w:rPr>
                <w:rFonts w:ascii="Aptos" w:hAnsi="Aptos"/>
                <w:b w:val="0"/>
                <w:sz w:val="16"/>
              </w:rPr>
              <w:t>Bookcases</w:t>
            </w:r>
          </w:p>
        </w:tc>
        <w:tc>
          <w:tcPr>
            <w:tcW w:type="dxa" w:w="3360"/>
            <w:vAlign w:val="center"/>
            <w:shd w:fill="F1F4F8"/>
          </w:tcPr>
          <w:p>
            <w:pPr>
              <w:spacing w:after="0"/>
            </w:pPr>
            <w:r/>
            <w:r>
              <w:rPr>
                <w:rFonts w:ascii="Aptos" w:hAnsi="Aptos"/>
                <w:b w:val="0"/>
                <w:sz w:val="16"/>
              </w:rPr>
              <w:t>$114,880.00</w:t>
            </w:r>
          </w:p>
        </w:tc>
        <w:tc>
          <w:tcPr>
            <w:tcW w:type="dxa" w:w="3360"/>
            <w:vAlign w:val="center"/>
            <w:shd w:fill="F1F4F8"/>
          </w:tcPr>
          <w:p>
            <w:pPr>
              <w:spacing w:after="0"/>
            </w:pPr>
            <w:r/>
            <w:r>
              <w:rPr>
                <w:rFonts w:ascii="Aptos" w:hAnsi="Aptos"/>
                <w:b w:val="0"/>
                <w:sz w:val="16"/>
              </w:rPr>
              <w:t>$-3,472.56</w:t>
            </w:r>
          </w:p>
        </w:tc>
      </w:tr>
      <w:tr>
        <w:tc>
          <w:tcPr>
            <w:tcW w:type="dxa" w:w="3360"/>
            <w:vAlign w:val="center"/>
          </w:tcPr>
          <w:p>
            <w:pPr>
              <w:spacing w:after="0"/>
            </w:pPr>
            <w:r/>
            <w:r>
              <w:rPr>
                <w:rFonts w:ascii="Aptos" w:hAnsi="Aptos"/>
                <w:b w:val="0"/>
                <w:sz w:val="16"/>
              </w:rPr>
              <w:t>Supplies</w:t>
            </w:r>
          </w:p>
        </w:tc>
        <w:tc>
          <w:tcPr>
            <w:tcW w:type="dxa" w:w="3360"/>
            <w:vAlign w:val="center"/>
          </w:tcPr>
          <w:p>
            <w:pPr>
              <w:spacing w:after="0"/>
            </w:pPr>
            <w:r/>
            <w:r>
              <w:rPr>
                <w:rFonts w:ascii="Aptos" w:hAnsi="Aptos"/>
                <w:b w:val="0"/>
                <w:sz w:val="16"/>
              </w:rPr>
              <w:t>$46,673.54</w:t>
            </w:r>
          </w:p>
        </w:tc>
        <w:tc>
          <w:tcPr>
            <w:tcW w:type="dxa" w:w="3360"/>
            <w:vAlign w:val="center"/>
          </w:tcPr>
          <w:p>
            <w:pPr>
              <w:spacing w:after="0"/>
            </w:pPr>
            <w:r/>
            <w:r>
              <w:rPr>
                <w:rFonts w:ascii="Aptos" w:hAnsi="Aptos"/>
                <w:b w:val="0"/>
                <w:sz w:val="16"/>
              </w:rPr>
              <w:t>$-1,189.10</w:t>
            </w:r>
          </w:p>
        </w:tc>
      </w:tr>
      <w:tr>
        <w:tc>
          <w:tcPr>
            <w:tcW w:type="dxa" w:w="3360"/>
            <w:vAlign w:val="center"/>
            <w:shd w:fill="F1F4F8"/>
          </w:tcPr>
          <w:p>
            <w:pPr>
              <w:spacing w:after="0"/>
            </w:pPr>
            <w:r/>
            <w:r>
              <w:rPr>
                <w:rFonts w:ascii="Aptos" w:hAnsi="Aptos"/>
                <w:b w:val="0"/>
                <w:sz w:val="16"/>
              </w:rPr>
              <w:t>Fasteners</w:t>
            </w:r>
          </w:p>
        </w:tc>
        <w:tc>
          <w:tcPr>
            <w:tcW w:type="dxa" w:w="3360"/>
            <w:vAlign w:val="center"/>
            <w:shd w:fill="F1F4F8"/>
          </w:tcPr>
          <w:p>
            <w:pPr>
              <w:spacing w:after="0"/>
            </w:pPr>
            <w:r/>
            <w:r>
              <w:rPr>
                <w:rFonts w:ascii="Aptos" w:hAnsi="Aptos"/>
                <w:b w:val="0"/>
                <w:sz w:val="16"/>
              </w:rPr>
              <w:t>$3,024.28</w:t>
            </w:r>
          </w:p>
        </w:tc>
        <w:tc>
          <w:tcPr>
            <w:tcW w:type="dxa" w:w="3360"/>
            <w:vAlign w:val="center"/>
            <w:shd w:fill="F1F4F8"/>
          </w:tcPr>
          <w:p>
            <w:pPr>
              <w:spacing w:after="0"/>
            </w:pPr>
            <w:r/>
            <w:r>
              <w:rPr>
                <w:rFonts w:ascii="Aptos" w:hAnsi="Aptos"/>
                <w:b w:val="0"/>
                <w:sz w:val="16"/>
              </w:rPr>
              <w:t>$949.52</w:t>
            </w:r>
          </w:p>
        </w:tc>
      </w:tr>
      <w:tr>
        <w:tc>
          <w:tcPr>
            <w:tcW w:type="dxa" w:w="3360"/>
            <w:vAlign w:val="center"/>
          </w:tcPr>
          <w:p>
            <w:pPr>
              <w:spacing w:after="0"/>
            </w:pPr>
            <w:r/>
            <w:r>
              <w:rPr>
                <w:rFonts w:ascii="Aptos" w:hAnsi="Aptos"/>
                <w:b w:val="0"/>
                <w:sz w:val="16"/>
              </w:rPr>
              <w:t>Machines</w:t>
            </w:r>
          </w:p>
        </w:tc>
        <w:tc>
          <w:tcPr>
            <w:tcW w:type="dxa" w:w="3360"/>
            <w:vAlign w:val="center"/>
          </w:tcPr>
          <w:p>
            <w:pPr>
              <w:spacing w:after="0"/>
            </w:pPr>
            <w:r/>
            <w:r>
              <w:rPr>
                <w:rFonts w:ascii="Aptos" w:hAnsi="Aptos"/>
                <w:b w:val="0"/>
                <w:sz w:val="16"/>
              </w:rPr>
              <w:t>$189,238.63</w:t>
            </w:r>
          </w:p>
        </w:tc>
        <w:tc>
          <w:tcPr>
            <w:tcW w:type="dxa" w:w="3360"/>
            <w:vAlign w:val="center"/>
          </w:tcPr>
          <w:p>
            <w:pPr>
              <w:spacing w:after="0"/>
            </w:pPr>
            <w:r/>
            <w:r>
              <w:rPr>
                <w:rFonts w:ascii="Aptos" w:hAnsi="Aptos"/>
                <w:b w:val="0"/>
                <w:sz w:val="16"/>
              </w:rPr>
              <w:t>$3,384.76</w:t>
            </w:r>
          </w:p>
        </w:tc>
      </w:tr>
      <w:tr>
        <w:tc>
          <w:tcPr>
            <w:tcW w:type="dxa" w:w="3360"/>
            <w:vAlign w:val="center"/>
            <w:shd w:fill="F1F4F8"/>
          </w:tcPr>
          <w:p>
            <w:pPr>
              <w:spacing w:after="0"/>
            </w:pPr>
            <w:r/>
            <w:r>
              <w:rPr>
                <w:rFonts w:ascii="Aptos" w:hAnsi="Aptos"/>
                <w:b w:val="0"/>
                <w:sz w:val="16"/>
              </w:rPr>
              <w:t>Labels</w:t>
            </w:r>
          </w:p>
        </w:tc>
        <w:tc>
          <w:tcPr>
            <w:tcW w:type="dxa" w:w="3360"/>
            <w:vAlign w:val="center"/>
            <w:shd w:fill="F1F4F8"/>
          </w:tcPr>
          <w:p>
            <w:pPr>
              <w:spacing w:after="0"/>
            </w:pPr>
            <w:r/>
            <w:r>
              <w:rPr>
                <w:rFonts w:ascii="Aptos" w:hAnsi="Aptos"/>
                <w:b w:val="0"/>
                <w:sz w:val="16"/>
              </w:rPr>
              <w:t>$12,486.31</w:t>
            </w:r>
          </w:p>
        </w:tc>
        <w:tc>
          <w:tcPr>
            <w:tcW w:type="dxa" w:w="3360"/>
            <w:vAlign w:val="center"/>
            <w:shd w:fill="F1F4F8"/>
          </w:tcPr>
          <w:p>
            <w:pPr>
              <w:spacing w:after="0"/>
            </w:pPr>
            <w:r/>
            <w:r>
              <w:rPr>
                <w:rFonts w:ascii="Aptos" w:hAnsi="Aptos"/>
                <w:b w:val="0"/>
                <w:sz w:val="16"/>
              </w:rPr>
              <w:t>$5,546.25</w:t>
            </w:r>
          </w:p>
        </w:tc>
      </w:tr>
    </w:tbl>
    <w:p>
      <w:pPr>
        <w:spacing w:after="20"/>
      </w:pPr>
    </w:p>
    <w:p>
      <w:r>
        <w:t>Tables is the most prominent loss-making sub-category, with $206,965.53 in sales and $-17,725.48 in profit. Bookcases also records a loss of $-3,472.56. These areas warrant further examination at product and transaction level.</w:t>
      </w:r>
    </w:p>
    <w:p>
      <w:pPr>
        <w:pStyle w:val="Heading2"/>
      </w:pPr>
      <w:r>
        <w:t>5.3 Discount and profitability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7365D"/>
          </w:tcPr>
          <w:p>
            <w:pPr>
              <w:spacing w:after="0"/>
            </w:pPr>
            <w:r/>
            <w:r>
              <w:rPr>
                <w:rFonts w:ascii="Aptos" w:hAnsi="Aptos"/>
                <w:b/>
                <w:color w:val="FFFFFF"/>
                <w:sz w:val="17"/>
              </w:rPr>
              <w:t>Discount</w:t>
            </w:r>
          </w:p>
        </w:tc>
        <w:tc>
          <w:tcPr>
            <w:tcW w:type="dxa" w:w="2016"/>
            <w:vAlign w:val="center"/>
            <w:shd w:fill="17365D"/>
          </w:tcPr>
          <w:p>
            <w:pPr>
              <w:spacing w:after="0"/>
            </w:pPr>
            <w:r/>
            <w:r>
              <w:rPr>
                <w:rFonts w:ascii="Aptos" w:hAnsi="Aptos"/>
                <w:b/>
                <w:color w:val="FFFFFF"/>
                <w:sz w:val="17"/>
              </w:rPr>
              <w:t>Records</w:t>
            </w:r>
          </w:p>
        </w:tc>
        <w:tc>
          <w:tcPr>
            <w:tcW w:type="dxa" w:w="2016"/>
            <w:vAlign w:val="center"/>
            <w:shd w:fill="17365D"/>
          </w:tcPr>
          <w:p>
            <w:pPr>
              <w:spacing w:after="0"/>
            </w:pPr>
            <w:r/>
            <w:r>
              <w:rPr>
                <w:rFonts w:ascii="Aptos" w:hAnsi="Aptos"/>
                <w:b/>
                <w:color w:val="FFFFFF"/>
                <w:sz w:val="17"/>
              </w:rPr>
              <w:t>Sales</w:t>
            </w:r>
          </w:p>
        </w:tc>
        <w:tc>
          <w:tcPr>
            <w:tcW w:type="dxa" w:w="2016"/>
            <w:vAlign w:val="center"/>
            <w:shd w:fill="17365D"/>
          </w:tcPr>
          <w:p>
            <w:pPr>
              <w:spacing w:after="0"/>
            </w:pPr>
            <w:r/>
            <w:r>
              <w:rPr>
                <w:rFonts w:ascii="Aptos" w:hAnsi="Aptos"/>
                <w:b/>
                <w:color w:val="FFFFFF"/>
                <w:sz w:val="17"/>
              </w:rPr>
              <w:t>Profit</w:t>
            </w:r>
          </w:p>
        </w:tc>
        <w:tc>
          <w:tcPr>
            <w:tcW w:type="dxa" w:w="2016"/>
            <w:vAlign w:val="center"/>
            <w:shd w:fill="17365D"/>
          </w:tcPr>
          <w:p>
            <w:pPr>
              <w:spacing w:after="0"/>
            </w:pPr>
            <w:r/>
            <w:r>
              <w:rPr>
                <w:rFonts w:ascii="Aptos" w:hAnsi="Aptos"/>
                <w:b/>
                <w:color w:val="FFFFFF"/>
                <w:sz w:val="17"/>
              </w:rPr>
              <w:t>Profit margin</w:t>
            </w:r>
          </w:p>
        </w:tc>
      </w:tr>
      <w:tr>
        <w:tc>
          <w:tcPr>
            <w:tcW w:type="dxa" w:w="2016"/>
            <w:vAlign w:val="center"/>
          </w:tcPr>
          <w:p>
            <w:pPr>
              <w:spacing w:after="0"/>
            </w:pPr>
            <w:r/>
            <w:r>
              <w:rPr>
                <w:rFonts w:ascii="Aptos" w:hAnsi="Aptos"/>
                <w:b w:val="0"/>
                <w:sz w:val="16"/>
              </w:rPr>
              <w:t>0%</w:t>
            </w:r>
          </w:p>
        </w:tc>
        <w:tc>
          <w:tcPr>
            <w:tcW w:type="dxa" w:w="2016"/>
            <w:vAlign w:val="center"/>
          </w:tcPr>
          <w:p>
            <w:pPr>
              <w:spacing w:after="0"/>
            </w:pPr>
            <w:r/>
            <w:r>
              <w:rPr>
                <w:rFonts w:ascii="Aptos" w:hAnsi="Aptos"/>
                <w:b w:val="0"/>
                <w:sz w:val="16"/>
              </w:rPr>
              <w:t>4,798</w:t>
            </w:r>
          </w:p>
        </w:tc>
        <w:tc>
          <w:tcPr>
            <w:tcW w:type="dxa" w:w="2016"/>
            <w:vAlign w:val="center"/>
          </w:tcPr>
          <w:p>
            <w:pPr>
              <w:spacing w:after="0"/>
            </w:pPr>
            <w:r/>
            <w:r>
              <w:rPr>
                <w:rFonts w:ascii="Aptos" w:hAnsi="Aptos"/>
                <w:b w:val="0"/>
                <w:sz w:val="16"/>
              </w:rPr>
              <w:t>$1,087,908.47</w:t>
            </w:r>
          </w:p>
        </w:tc>
        <w:tc>
          <w:tcPr>
            <w:tcW w:type="dxa" w:w="2016"/>
            <w:vAlign w:val="center"/>
          </w:tcPr>
          <w:p>
            <w:pPr>
              <w:spacing w:after="0"/>
            </w:pPr>
            <w:r/>
            <w:r>
              <w:rPr>
                <w:rFonts w:ascii="Aptos" w:hAnsi="Aptos"/>
                <w:b w:val="0"/>
                <w:sz w:val="16"/>
              </w:rPr>
              <w:t>$320,987.60</w:t>
            </w:r>
          </w:p>
        </w:tc>
        <w:tc>
          <w:tcPr>
            <w:tcW w:type="dxa" w:w="2016"/>
            <w:vAlign w:val="center"/>
          </w:tcPr>
          <w:p>
            <w:pPr>
              <w:spacing w:after="0"/>
            </w:pPr>
            <w:r/>
            <w:r>
              <w:rPr>
                <w:rFonts w:ascii="Aptos" w:hAnsi="Aptos"/>
                <w:b w:val="0"/>
                <w:sz w:val="16"/>
              </w:rPr>
              <w:t>29.51%</w:t>
            </w:r>
          </w:p>
        </w:tc>
      </w:tr>
      <w:tr>
        <w:tc>
          <w:tcPr>
            <w:tcW w:type="dxa" w:w="2016"/>
            <w:vAlign w:val="center"/>
            <w:shd w:fill="F1F4F8"/>
          </w:tcPr>
          <w:p>
            <w:pPr>
              <w:spacing w:after="0"/>
            </w:pPr>
            <w:r/>
            <w:r>
              <w:rPr>
                <w:rFonts w:ascii="Aptos" w:hAnsi="Aptos"/>
                <w:b w:val="0"/>
                <w:sz w:val="16"/>
              </w:rPr>
              <w:t>10%</w:t>
            </w:r>
          </w:p>
        </w:tc>
        <w:tc>
          <w:tcPr>
            <w:tcW w:type="dxa" w:w="2016"/>
            <w:vAlign w:val="center"/>
            <w:shd w:fill="F1F4F8"/>
          </w:tcPr>
          <w:p>
            <w:pPr>
              <w:spacing w:after="0"/>
            </w:pPr>
            <w:r/>
            <w:r>
              <w:rPr>
                <w:rFonts w:ascii="Aptos" w:hAnsi="Aptos"/>
                <w:b w:val="0"/>
                <w:sz w:val="16"/>
              </w:rPr>
              <w:t>94</w:t>
            </w:r>
          </w:p>
        </w:tc>
        <w:tc>
          <w:tcPr>
            <w:tcW w:type="dxa" w:w="2016"/>
            <w:vAlign w:val="center"/>
            <w:shd w:fill="F1F4F8"/>
          </w:tcPr>
          <w:p>
            <w:pPr>
              <w:spacing w:after="0"/>
            </w:pPr>
            <w:r/>
            <w:r>
              <w:rPr>
                <w:rFonts w:ascii="Aptos" w:hAnsi="Aptos"/>
                <w:b w:val="0"/>
                <w:sz w:val="16"/>
              </w:rPr>
              <w:t>$54,369.35</w:t>
            </w:r>
          </w:p>
        </w:tc>
        <w:tc>
          <w:tcPr>
            <w:tcW w:type="dxa" w:w="2016"/>
            <w:vAlign w:val="center"/>
            <w:shd w:fill="F1F4F8"/>
          </w:tcPr>
          <w:p>
            <w:pPr>
              <w:spacing w:after="0"/>
            </w:pPr>
            <w:r/>
            <w:r>
              <w:rPr>
                <w:rFonts w:ascii="Aptos" w:hAnsi="Aptos"/>
                <w:b w:val="0"/>
                <w:sz w:val="16"/>
              </w:rPr>
              <w:t>$9,029.18</w:t>
            </w:r>
          </w:p>
        </w:tc>
        <w:tc>
          <w:tcPr>
            <w:tcW w:type="dxa" w:w="2016"/>
            <w:vAlign w:val="center"/>
            <w:shd w:fill="F1F4F8"/>
          </w:tcPr>
          <w:p>
            <w:pPr>
              <w:spacing w:after="0"/>
            </w:pPr>
            <w:r/>
            <w:r>
              <w:rPr>
                <w:rFonts w:ascii="Aptos" w:hAnsi="Aptos"/>
                <w:b w:val="0"/>
                <w:sz w:val="16"/>
              </w:rPr>
              <w:t>16.61%</w:t>
            </w:r>
          </w:p>
        </w:tc>
      </w:tr>
      <w:tr>
        <w:tc>
          <w:tcPr>
            <w:tcW w:type="dxa" w:w="2016"/>
            <w:vAlign w:val="center"/>
          </w:tcPr>
          <w:p>
            <w:pPr>
              <w:spacing w:after="0"/>
            </w:pPr>
            <w:r/>
            <w:r>
              <w:rPr>
                <w:rFonts w:ascii="Aptos" w:hAnsi="Aptos"/>
                <w:b w:val="0"/>
                <w:sz w:val="16"/>
              </w:rPr>
              <w:t>15%</w:t>
            </w:r>
          </w:p>
        </w:tc>
        <w:tc>
          <w:tcPr>
            <w:tcW w:type="dxa" w:w="2016"/>
            <w:vAlign w:val="center"/>
          </w:tcPr>
          <w:p>
            <w:pPr>
              <w:spacing w:after="0"/>
            </w:pPr>
            <w:r/>
            <w:r>
              <w:rPr>
                <w:rFonts w:ascii="Aptos" w:hAnsi="Aptos"/>
                <w:b w:val="0"/>
                <w:sz w:val="16"/>
              </w:rPr>
              <w:t>52</w:t>
            </w:r>
          </w:p>
        </w:tc>
        <w:tc>
          <w:tcPr>
            <w:tcW w:type="dxa" w:w="2016"/>
            <w:vAlign w:val="center"/>
          </w:tcPr>
          <w:p>
            <w:pPr>
              <w:spacing w:after="0"/>
            </w:pPr>
            <w:r/>
            <w:r>
              <w:rPr>
                <w:rFonts w:ascii="Aptos" w:hAnsi="Aptos"/>
                <w:b w:val="0"/>
                <w:sz w:val="16"/>
              </w:rPr>
              <w:t>$27,558.52</w:t>
            </w:r>
          </w:p>
        </w:tc>
        <w:tc>
          <w:tcPr>
            <w:tcW w:type="dxa" w:w="2016"/>
            <w:vAlign w:val="center"/>
          </w:tcPr>
          <w:p>
            <w:pPr>
              <w:spacing w:after="0"/>
            </w:pPr>
            <w:r/>
            <w:r>
              <w:rPr>
                <w:rFonts w:ascii="Aptos" w:hAnsi="Aptos"/>
                <w:b w:val="0"/>
                <w:sz w:val="16"/>
              </w:rPr>
              <w:t>$1,418.99</w:t>
            </w:r>
          </w:p>
        </w:tc>
        <w:tc>
          <w:tcPr>
            <w:tcW w:type="dxa" w:w="2016"/>
            <w:vAlign w:val="center"/>
          </w:tcPr>
          <w:p>
            <w:pPr>
              <w:spacing w:after="0"/>
            </w:pPr>
            <w:r/>
            <w:r>
              <w:rPr>
                <w:rFonts w:ascii="Aptos" w:hAnsi="Aptos"/>
                <w:b w:val="0"/>
                <w:sz w:val="16"/>
              </w:rPr>
              <w:t>5.15%</w:t>
            </w:r>
          </w:p>
        </w:tc>
      </w:tr>
      <w:tr>
        <w:tc>
          <w:tcPr>
            <w:tcW w:type="dxa" w:w="2016"/>
            <w:vAlign w:val="center"/>
            <w:shd w:fill="F1F4F8"/>
          </w:tcPr>
          <w:p>
            <w:pPr>
              <w:spacing w:after="0"/>
            </w:pPr>
            <w:r/>
            <w:r>
              <w:rPr>
                <w:rFonts w:ascii="Aptos" w:hAnsi="Aptos"/>
                <w:b w:val="0"/>
                <w:sz w:val="16"/>
              </w:rPr>
              <w:t>20%</w:t>
            </w:r>
          </w:p>
        </w:tc>
        <w:tc>
          <w:tcPr>
            <w:tcW w:type="dxa" w:w="2016"/>
            <w:vAlign w:val="center"/>
            <w:shd w:fill="F1F4F8"/>
          </w:tcPr>
          <w:p>
            <w:pPr>
              <w:spacing w:after="0"/>
            </w:pPr>
            <w:r/>
            <w:r>
              <w:rPr>
                <w:rFonts w:ascii="Aptos" w:hAnsi="Aptos"/>
                <w:b w:val="0"/>
                <w:sz w:val="16"/>
              </w:rPr>
              <w:t>3,657</w:t>
            </w:r>
          </w:p>
        </w:tc>
        <w:tc>
          <w:tcPr>
            <w:tcW w:type="dxa" w:w="2016"/>
            <w:vAlign w:val="center"/>
            <w:shd w:fill="F1F4F8"/>
          </w:tcPr>
          <w:p>
            <w:pPr>
              <w:spacing w:after="0"/>
            </w:pPr>
            <w:r/>
            <w:r>
              <w:rPr>
                <w:rFonts w:ascii="Aptos" w:hAnsi="Aptos"/>
                <w:b w:val="0"/>
                <w:sz w:val="16"/>
              </w:rPr>
              <w:t>$764,594.37</w:t>
            </w:r>
          </w:p>
        </w:tc>
        <w:tc>
          <w:tcPr>
            <w:tcW w:type="dxa" w:w="2016"/>
            <w:vAlign w:val="center"/>
            <w:shd w:fill="F1F4F8"/>
          </w:tcPr>
          <w:p>
            <w:pPr>
              <w:spacing w:after="0"/>
            </w:pPr>
            <w:r/>
            <w:r>
              <w:rPr>
                <w:rFonts w:ascii="Aptos" w:hAnsi="Aptos"/>
                <w:b w:val="0"/>
                <w:sz w:val="16"/>
              </w:rPr>
              <w:t>$90,337.31</w:t>
            </w:r>
          </w:p>
        </w:tc>
        <w:tc>
          <w:tcPr>
            <w:tcW w:type="dxa" w:w="2016"/>
            <w:vAlign w:val="center"/>
            <w:shd w:fill="F1F4F8"/>
          </w:tcPr>
          <w:p>
            <w:pPr>
              <w:spacing w:after="0"/>
            </w:pPr>
            <w:r/>
            <w:r>
              <w:rPr>
                <w:rFonts w:ascii="Aptos" w:hAnsi="Aptos"/>
                <w:b w:val="0"/>
                <w:sz w:val="16"/>
              </w:rPr>
              <w:t>11.82%</w:t>
            </w:r>
          </w:p>
        </w:tc>
      </w:tr>
      <w:tr>
        <w:tc>
          <w:tcPr>
            <w:tcW w:type="dxa" w:w="2016"/>
            <w:vAlign w:val="center"/>
          </w:tcPr>
          <w:p>
            <w:pPr>
              <w:spacing w:after="0"/>
            </w:pPr>
            <w:r/>
            <w:r>
              <w:rPr>
                <w:rFonts w:ascii="Aptos" w:hAnsi="Aptos"/>
                <w:b w:val="0"/>
                <w:sz w:val="16"/>
              </w:rPr>
              <w:t>30%</w:t>
            </w:r>
          </w:p>
        </w:tc>
        <w:tc>
          <w:tcPr>
            <w:tcW w:type="dxa" w:w="2016"/>
            <w:vAlign w:val="center"/>
          </w:tcPr>
          <w:p>
            <w:pPr>
              <w:spacing w:after="0"/>
            </w:pPr>
            <w:r/>
            <w:r>
              <w:rPr>
                <w:rFonts w:ascii="Aptos" w:hAnsi="Aptos"/>
                <w:b w:val="0"/>
                <w:sz w:val="16"/>
              </w:rPr>
              <w:t>227</w:t>
            </w:r>
          </w:p>
        </w:tc>
        <w:tc>
          <w:tcPr>
            <w:tcW w:type="dxa" w:w="2016"/>
            <w:vAlign w:val="center"/>
          </w:tcPr>
          <w:p>
            <w:pPr>
              <w:spacing w:after="0"/>
            </w:pPr>
            <w:r/>
            <w:r>
              <w:rPr>
                <w:rFonts w:ascii="Aptos" w:hAnsi="Aptos"/>
                <w:b w:val="0"/>
                <w:sz w:val="16"/>
              </w:rPr>
              <w:t>$103,226.65</w:t>
            </w:r>
          </w:p>
        </w:tc>
        <w:tc>
          <w:tcPr>
            <w:tcW w:type="dxa" w:w="2016"/>
            <w:vAlign w:val="center"/>
          </w:tcPr>
          <w:p>
            <w:pPr>
              <w:spacing w:after="0"/>
            </w:pPr>
            <w:r/>
            <w:r>
              <w:rPr>
                <w:rFonts w:ascii="Aptos" w:hAnsi="Aptos"/>
                <w:b w:val="0"/>
                <w:sz w:val="16"/>
              </w:rPr>
              <w:t>$-10,369.28</w:t>
            </w:r>
          </w:p>
        </w:tc>
        <w:tc>
          <w:tcPr>
            <w:tcW w:type="dxa" w:w="2016"/>
            <w:vAlign w:val="center"/>
          </w:tcPr>
          <w:p>
            <w:pPr>
              <w:spacing w:after="0"/>
            </w:pPr>
            <w:r/>
            <w:r>
              <w:rPr>
                <w:rFonts w:ascii="Aptos" w:hAnsi="Aptos"/>
                <w:b w:val="0"/>
                <w:sz w:val="16"/>
              </w:rPr>
              <w:t>-10.05%</w:t>
            </w:r>
          </w:p>
        </w:tc>
      </w:tr>
      <w:tr>
        <w:tc>
          <w:tcPr>
            <w:tcW w:type="dxa" w:w="2016"/>
            <w:vAlign w:val="center"/>
            <w:shd w:fill="F1F4F8"/>
          </w:tcPr>
          <w:p>
            <w:pPr>
              <w:spacing w:after="0"/>
            </w:pPr>
            <w:r/>
            <w:r>
              <w:rPr>
                <w:rFonts w:ascii="Aptos" w:hAnsi="Aptos"/>
                <w:b w:val="0"/>
                <w:sz w:val="16"/>
              </w:rPr>
              <w:t>32%</w:t>
            </w:r>
          </w:p>
        </w:tc>
        <w:tc>
          <w:tcPr>
            <w:tcW w:type="dxa" w:w="2016"/>
            <w:vAlign w:val="center"/>
            <w:shd w:fill="F1F4F8"/>
          </w:tcPr>
          <w:p>
            <w:pPr>
              <w:spacing w:after="0"/>
            </w:pPr>
            <w:r/>
            <w:r>
              <w:rPr>
                <w:rFonts w:ascii="Aptos" w:hAnsi="Aptos"/>
                <w:b w:val="0"/>
                <w:sz w:val="16"/>
              </w:rPr>
              <w:t>27</w:t>
            </w:r>
          </w:p>
        </w:tc>
        <w:tc>
          <w:tcPr>
            <w:tcW w:type="dxa" w:w="2016"/>
            <w:vAlign w:val="center"/>
            <w:shd w:fill="F1F4F8"/>
          </w:tcPr>
          <w:p>
            <w:pPr>
              <w:spacing w:after="0"/>
            </w:pPr>
            <w:r/>
            <w:r>
              <w:rPr>
                <w:rFonts w:ascii="Aptos" w:hAnsi="Aptos"/>
                <w:b w:val="0"/>
                <w:sz w:val="16"/>
              </w:rPr>
              <w:t>$14,493.46</w:t>
            </w:r>
          </w:p>
        </w:tc>
        <w:tc>
          <w:tcPr>
            <w:tcW w:type="dxa" w:w="2016"/>
            <w:vAlign w:val="center"/>
            <w:shd w:fill="F1F4F8"/>
          </w:tcPr>
          <w:p>
            <w:pPr>
              <w:spacing w:after="0"/>
            </w:pPr>
            <w:r/>
            <w:r>
              <w:rPr>
                <w:rFonts w:ascii="Aptos" w:hAnsi="Aptos"/>
                <w:b w:val="0"/>
                <w:sz w:val="16"/>
              </w:rPr>
              <w:t>$-2,391.14</w:t>
            </w:r>
          </w:p>
        </w:tc>
        <w:tc>
          <w:tcPr>
            <w:tcW w:type="dxa" w:w="2016"/>
            <w:vAlign w:val="center"/>
            <w:shd w:fill="F1F4F8"/>
          </w:tcPr>
          <w:p>
            <w:pPr>
              <w:spacing w:after="0"/>
            </w:pPr>
            <w:r/>
            <w:r>
              <w:rPr>
                <w:rFonts w:ascii="Aptos" w:hAnsi="Aptos"/>
                <w:b w:val="0"/>
                <w:sz w:val="16"/>
              </w:rPr>
              <w:t>-16.50%</w:t>
            </w:r>
          </w:p>
        </w:tc>
      </w:tr>
      <w:tr>
        <w:tc>
          <w:tcPr>
            <w:tcW w:type="dxa" w:w="2016"/>
            <w:vAlign w:val="center"/>
          </w:tcPr>
          <w:p>
            <w:pPr>
              <w:spacing w:after="0"/>
            </w:pPr>
            <w:r/>
            <w:r>
              <w:rPr>
                <w:rFonts w:ascii="Aptos" w:hAnsi="Aptos"/>
                <w:b w:val="0"/>
                <w:sz w:val="16"/>
              </w:rPr>
              <w:t>40%</w:t>
            </w:r>
          </w:p>
        </w:tc>
        <w:tc>
          <w:tcPr>
            <w:tcW w:type="dxa" w:w="2016"/>
            <w:vAlign w:val="center"/>
          </w:tcPr>
          <w:p>
            <w:pPr>
              <w:spacing w:after="0"/>
            </w:pPr>
            <w:r/>
            <w:r>
              <w:rPr>
                <w:rFonts w:ascii="Aptos" w:hAnsi="Aptos"/>
                <w:b w:val="0"/>
                <w:sz w:val="16"/>
              </w:rPr>
              <w:t>206</w:t>
            </w:r>
          </w:p>
        </w:tc>
        <w:tc>
          <w:tcPr>
            <w:tcW w:type="dxa" w:w="2016"/>
            <w:vAlign w:val="center"/>
          </w:tcPr>
          <w:p>
            <w:pPr>
              <w:spacing w:after="0"/>
            </w:pPr>
            <w:r/>
            <w:r>
              <w:rPr>
                <w:rFonts w:ascii="Aptos" w:hAnsi="Aptos"/>
                <w:b w:val="0"/>
                <w:sz w:val="16"/>
              </w:rPr>
              <w:t>$116,417.78</w:t>
            </w:r>
          </w:p>
        </w:tc>
        <w:tc>
          <w:tcPr>
            <w:tcW w:type="dxa" w:w="2016"/>
            <w:vAlign w:val="center"/>
          </w:tcPr>
          <w:p>
            <w:pPr>
              <w:spacing w:after="0"/>
            </w:pPr>
            <w:r/>
            <w:r>
              <w:rPr>
                <w:rFonts w:ascii="Aptos" w:hAnsi="Aptos"/>
                <w:b w:val="0"/>
                <w:sz w:val="16"/>
              </w:rPr>
              <w:t>$-23,057.05</w:t>
            </w:r>
          </w:p>
        </w:tc>
        <w:tc>
          <w:tcPr>
            <w:tcW w:type="dxa" w:w="2016"/>
            <w:vAlign w:val="center"/>
          </w:tcPr>
          <w:p>
            <w:pPr>
              <w:spacing w:after="0"/>
            </w:pPr>
            <w:r/>
            <w:r>
              <w:rPr>
                <w:rFonts w:ascii="Aptos" w:hAnsi="Aptos"/>
                <w:b w:val="0"/>
                <w:sz w:val="16"/>
              </w:rPr>
              <w:t>-19.81%</w:t>
            </w:r>
          </w:p>
        </w:tc>
      </w:tr>
      <w:tr>
        <w:tc>
          <w:tcPr>
            <w:tcW w:type="dxa" w:w="2016"/>
            <w:vAlign w:val="center"/>
            <w:shd w:fill="F1F4F8"/>
          </w:tcPr>
          <w:p>
            <w:pPr>
              <w:spacing w:after="0"/>
            </w:pPr>
            <w:r/>
            <w:r>
              <w:rPr>
                <w:rFonts w:ascii="Aptos" w:hAnsi="Aptos"/>
                <w:b w:val="0"/>
                <w:sz w:val="16"/>
              </w:rPr>
              <w:t>45%</w:t>
            </w:r>
          </w:p>
        </w:tc>
        <w:tc>
          <w:tcPr>
            <w:tcW w:type="dxa" w:w="2016"/>
            <w:vAlign w:val="center"/>
            <w:shd w:fill="F1F4F8"/>
          </w:tcPr>
          <w:p>
            <w:pPr>
              <w:spacing w:after="0"/>
            </w:pPr>
            <w:r/>
            <w:r>
              <w:rPr>
                <w:rFonts w:ascii="Aptos" w:hAnsi="Aptos"/>
                <w:b w:val="0"/>
                <w:sz w:val="16"/>
              </w:rPr>
              <w:t>11</w:t>
            </w:r>
          </w:p>
        </w:tc>
        <w:tc>
          <w:tcPr>
            <w:tcW w:type="dxa" w:w="2016"/>
            <w:vAlign w:val="center"/>
            <w:shd w:fill="F1F4F8"/>
          </w:tcPr>
          <w:p>
            <w:pPr>
              <w:spacing w:after="0"/>
            </w:pPr>
            <w:r/>
            <w:r>
              <w:rPr>
                <w:rFonts w:ascii="Aptos" w:hAnsi="Aptos"/>
                <w:b w:val="0"/>
                <w:sz w:val="16"/>
              </w:rPr>
              <w:t>$5,484.97</w:t>
            </w:r>
          </w:p>
        </w:tc>
        <w:tc>
          <w:tcPr>
            <w:tcW w:type="dxa" w:w="2016"/>
            <w:vAlign w:val="center"/>
            <w:shd w:fill="F1F4F8"/>
          </w:tcPr>
          <w:p>
            <w:pPr>
              <w:spacing w:after="0"/>
            </w:pPr>
            <w:r/>
            <w:r>
              <w:rPr>
                <w:rFonts w:ascii="Aptos" w:hAnsi="Aptos"/>
                <w:b w:val="0"/>
                <w:sz w:val="16"/>
              </w:rPr>
              <w:t>$-2,493.11</w:t>
            </w:r>
          </w:p>
        </w:tc>
        <w:tc>
          <w:tcPr>
            <w:tcW w:type="dxa" w:w="2016"/>
            <w:vAlign w:val="center"/>
            <w:shd w:fill="F1F4F8"/>
          </w:tcPr>
          <w:p>
            <w:pPr>
              <w:spacing w:after="0"/>
            </w:pPr>
            <w:r/>
            <w:r>
              <w:rPr>
                <w:rFonts w:ascii="Aptos" w:hAnsi="Aptos"/>
                <w:b w:val="0"/>
                <w:sz w:val="16"/>
              </w:rPr>
              <w:t>-45.45%</w:t>
            </w:r>
          </w:p>
        </w:tc>
      </w:tr>
      <w:tr>
        <w:tc>
          <w:tcPr>
            <w:tcW w:type="dxa" w:w="2016"/>
            <w:vAlign w:val="center"/>
          </w:tcPr>
          <w:p>
            <w:pPr>
              <w:spacing w:after="0"/>
            </w:pPr>
            <w:r/>
            <w:r>
              <w:rPr>
                <w:rFonts w:ascii="Aptos" w:hAnsi="Aptos"/>
                <w:b w:val="0"/>
                <w:sz w:val="16"/>
              </w:rPr>
              <w:t>50%</w:t>
            </w:r>
          </w:p>
        </w:tc>
        <w:tc>
          <w:tcPr>
            <w:tcW w:type="dxa" w:w="2016"/>
            <w:vAlign w:val="center"/>
          </w:tcPr>
          <w:p>
            <w:pPr>
              <w:spacing w:after="0"/>
            </w:pPr>
            <w:r/>
            <w:r>
              <w:rPr>
                <w:rFonts w:ascii="Aptos" w:hAnsi="Aptos"/>
                <w:b w:val="0"/>
                <w:sz w:val="16"/>
              </w:rPr>
              <w:t>66</w:t>
            </w:r>
          </w:p>
        </w:tc>
        <w:tc>
          <w:tcPr>
            <w:tcW w:type="dxa" w:w="2016"/>
            <w:vAlign w:val="center"/>
          </w:tcPr>
          <w:p>
            <w:pPr>
              <w:spacing w:after="0"/>
            </w:pPr>
            <w:r/>
            <w:r>
              <w:rPr>
                <w:rFonts w:ascii="Aptos" w:hAnsi="Aptos"/>
                <w:b w:val="0"/>
                <w:sz w:val="16"/>
              </w:rPr>
              <w:t>$58,918.54</w:t>
            </w:r>
          </w:p>
        </w:tc>
        <w:tc>
          <w:tcPr>
            <w:tcW w:type="dxa" w:w="2016"/>
            <w:vAlign w:val="center"/>
          </w:tcPr>
          <w:p>
            <w:pPr>
              <w:spacing w:after="0"/>
            </w:pPr>
            <w:r/>
            <w:r>
              <w:rPr>
                <w:rFonts w:ascii="Aptos" w:hAnsi="Aptos"/>
                <w:b w:val="0"/>
                <w:sz w:val="16"/>
              </w:rPr>
              <w:t>$-20,506.43</w:t>
            </w:r>
          </w:p>
        </w:tc>
        <w:tc>
          <w:tcPr>
            <w:tcW w:type="dxa" w:w="2016"/>
            <w:vAlign w:val="center"/>
          </w:tcPr>
          <w:p>
            <w:pPr>
              <w:spacing w:after="0"/>
            </w:pPr>
            <w:r/>
            <w:r>
              <w:rPr>
                <w:rFonts w:ascii="Aptos" w:hAnsi="Aptos"/>
                <w:b w:val="0"/>
                <w:sz w:val="16"/>
              </w:rPr>
              <w:t>-34.80%</w:t>
            </w:r>
          </w:p>
        </w:tc>
      </w:tr>
      <w:tr>
        <w:tc>
          <w:tcPr>
            <w:tcW w:type="dxa" w:w="2016"/>
            <w:vAlign w:val="center"/>
            <w:shd w:fill="F1F4F8"/>
          </w:tcPr>
          <w:p>
            <w:pPr>
              <w:spacing w:after="0"/>
            </w:pPr>
            <w:r/>
            <w:r>
              <w:rPr>
                <w:rFonts w:ascii="Aptos" w:hAnsi="Aptos"/>
                <w:b w:val="0"/>
                <w:sz w:val="16"/>
              </w:rPr>
              <w:t>60%</w:t>
            </w:r>
          </w:p>
        </w:tc>
        <w:tc>
          <w:tcPr>
            <w:tcW w:type="dxa" w:w="2016"/>
            <w:vAlign w:val="center"/>
            <w:shd w:fill="F1F4F8"/>
          </w:tcPr>
          <w:p>
            <w:pPr>
              <w:spacing w:after="0"/>
            </w:pPr>
            <w:r/>
            <w:r>
              <w:rPr>
                <w:rFonts w:ascii="Aptos" w:hAnsi="Aptos"/>
                <w:b w:val="0"/>
                <w:sz w:val="16"/>
              </w:rPr>
              <w:t>138</w:t>
            </w:r>
          </w:p>
        </w:tc>
        <w:tc>
          <w:tcPr>
            <w:tcW w:type="dxa" w:w="2016"/>
            <w:vAlign w:val="center"/>
            <w:shd w:fill="F1F4F8"/>
          </w:tcPr>
          <w:p>
            <w:pPr>
              <w:spacing w:after="0"/>
            </w:pPr>
            <w:r/>
            <w:r>
              <w:rPr>
                <w:rFonts w:ascii="Aptos" w:hAnsi="Aptos"/>
                <w:b w:val="0"/>
                <w:sz w:val="16"/>
              </w:rPr>
              <w:t>$6,644.70</w:t>
            </w:r>
          </w:p>
        </w:tc>
        <w:tc>
          <w:tcPr>
            <w:tcW w:type="dxa" w:w="2016"/>
            <w:vAlign w:val="center"/>
            <w:shd w:fill="F1F4F8"/>
          </w:tcPr>
          <w:p>
            <w:pPr>
              <w:spacing w:after="0"/>
            </w:pPr>
            <w:r/>
            <w:r>
              <w:rPr>
                <w:rFonts w:ascii="Aptos" w:hAnsi="Aptos"/>
                <w:b w:val="0"/>
                <w:sz w:val="16"/>
              </w:rPr>
              <w:t>$-5,944.66</w:t>
            </w:r>
          </w:p>
        </w:tc>
        <w:tc>
          <w:tcPr>
            <w:tcW w:type="dxa" w:w="2016"/>
            <w:vAlign w:val="center"/>
            <w:shd w:fill="F1F4F8"/>
          </w:tcPr>
          <w:p>
            <w:pPr>
              <w:spacing w:after="0"/>
            </w:pPr>
            <w:r/>
            <w:r>
              <w:rPr>
                <w:rFonts w:ascii="Aptos" w:hAnsi="Aptos"/>
                <w:b w:val="0"/>
                <w:sz w:val="16"/>
              </w:rPr>
              <w:t>-89.46%</w:t>
            </w:r>
          </w:p>
        </w:tc>
      </w:tr>
      <w:tr>
        <w:tc>
          <w:tcPr>
            <w:tcW w:type="dxa" w:w="2016"/>
            <w:vAlign w:val="center"/>
          </w:tcPr>
          <w:p>
            <w:pPr>
              <w:spacing w:after="0"/>
            </w:pPr>
            <w:r/>
            <w:r>
              <w:rPr>
                <w:rFonts w:ascii="Aptos" w:hAnsi="Aptos"/>
                <w:b w:val="0"/>
                <w:sz w:val="16"/>
              </w:rPr>
              <w:t>70%</w:t>
            </w:r>
          </w:p>
        </w:tc>
        <w:tc>
          <w:tcPr>
            <w:tcW w:type="dxa" w:w="2016"/>
            <w:vAlign w:val="center"/>
          </w:tcPr>
          <w:p>
            <w:pPr>
              <w:spacing w:after="0"/>
            </w:pPr>
            <w:r/>
            <w:r>
              <w:rPr>
                <w:rFonts w:ascii="Aptos" w:hAnsi="Aptos"/>
                <w:b w:val="0"/>
                <w:sz w:val="16"/>
              </w:rPr>
              <w:t>418</w:t>
            </w:r>
          </w:p>
        </w:tc>
        <w:tc>
          <w:tcPr>
            <w:tcW w:type="dxa" w:w="2016"/>
            <w:vAlign w:val="center"/>
          </w:tcPr>
          <w:p>
            <w:pPr>
              <w:spacing w:after="0"/>
            </w:pPr>
            <w:r/>
            <w:r>
              <w:rPr>
                <w:rFonts w:ascii="Aptos" w:hAnsi="Aptos"/>
                <w:b w:val="0"/>
                <w:sz w:val="16"/>
              </w:rPr>
              <w:t>$40,620.28</w:t>
            </w:r>
          </w:p>
        </w:tc>
        <w:tc>
          <w:tcPr>
            <w:tcW w:type="dxa" w:w="2016"/>
            <w:vAlign w:val="center"/>
          </w:tcPr>
          <w:p>
            <w:pPr>
              <w:spacing w:after="0"/>
            </w:pPr>
            <w:r/>
            <w:r>
              <w:rPr>
                <w:rFonts w:ascii="Aptos" w:hAnsi="Aptos"/>
                <w:b w:val="0"/>
                <w:sz w:val="16"/>
              </w:rPr>
              <w:t>$-40,075.36</w:t>
            </w:r>
          </w:p>
        </w:tc>
        <w:tc>
          <w:tcPr>
            <w:tcW w:type="dxa" w:w="2016"/>
            <w:vAlign w:val="center"/>
          </w:tcPr>
          <w:p>
            <w:pPr>
              <w:spacing w:after="0"/>
            </w:pPr>
            <w:r/>
            <w:r>
              <w:rPr>
                <w:rFonts w:ascii="Aptos" w:hAnsi="Aptos"/>
                <w:b w:val="0"/>
                <w:sz w:val="16"/>
              </w:rPr>
              <w:t>-98.66%</w:t>
            </w:r>
          </w:p>
        </w:tc>
      </w:tr>
      <w:tr>
        <w:tc>
          <w:tcPr>
            <w:tcW w:type="dxa" w:w="2016"/>
            <w:vAlign w:val="center"/>
            <w:shd w:fill="F1F4F8"/>
          </w:tcPr>
          <w:p>
            <w:pPr>
              <w:spacing w:after="0"/>
            </w:pPr>
            <w:r/>
            <w:r>
              <w:rPr>
                <w:rFonts w:ascii="Aptos" w:hAnsi="Aptos"/>
                <w:b w:val="0"/>
                <w:sz w:val="16"/>
              </w:rPr>
              <w:t>80%</w:t>
            </w:r>
          </w:p>
        </w:tc>
        <w:tc>
          <w:tcPr>
            <w:tcW w:type="dxa" w:w="2016"/>
            <w:vAlign w:val="center"/>
            <w:shd w:fill="F1F4F8"/>
          </w:tcPr>
          <w:p>
            <w:pPr>
              <w:spacing w:after="0"/>
            </w:pPr>
            <w:r/>
            <w:r>
              <w:rPr>
                <w:rFonts w:ascii="Aptos" w:hAnsi="Aptos"/>
                <w:b w:val="0"/>
                <w:sz w:val="16"/>
              </w:rPr>
              <w:t>300</w:t>
            </w:r>
          </w:p>
        </w:tc>
        <w:tc>
          <w:tcPr>
            <w:tcW w:type="dxa" w:w="2016"/>
            <w:vAlign w:val="center"/>
            <w:shd w:fill="F1F4F8"/>
          </w:tcPr>
          <w:p>
            <w:pPr>
              <w:spacing w:after="0"/>
            </w:pPr>
            <w:r/>
            <w:r>
              <w:rPr>
                <w:rFonts w:ascii="Aptos" w:hAnsi="Aptos"/>
                <w:b w:val="0"/>
                <w:sz w:val="16"/>
              </w:rPr>
              <w:t>$16,963.76</w:t>
            </w:r>
          </w:p>
        </w:tc>
        <w:tc>
          <w:tcPr>
            <w:tcW w:type="dxa" w:w="2016"/>
            <w:vAlign w:val="center"/>
            <w:shd w:fill="F1F4F8"/>
          </w:tcPr>
          <w:p>
            <w:pPr>
              <w:spacing w:after="0"/>
            </w:pPr>
            <w:r/>
            <w:r>
              <w:rPr>
                <w:rFonts w:ascii="Aptos" w:hAnsi="Aptos"/>
                <w:b w:val="0"/>
                <w:sz w:val="16"/>
              </w:rPr>
              <w:t>$-30,539.04</w:t>
            </w:r>
          </w:p>
        </w:tc>
        <w:tc>
          <w:tcPr>
            <w:tcW w:type="dxa" w:w="2016"/>
            <w:vAlign w:val="center"/>
            <w:shd w:fill="F1F4F8"/>
          </w:tcPr>
          <w:p>
            <w:pPr>
              <w:spacing w:after="0"/>
            </w:pPr>
            <w:r/>
            <w:r>
              <w:rPr>
                <w:rFonts w:ascii="Aptos" w:hAnsi="Aptos"/>
                <w:b w:val="0"/>
                <w:sz w:val="16"/>
              </w:rPr>
              <w:t>-180.03%</w:t>
            </w:r>
          </w:p>
        </w:tc>
      </w:tr>
    </w:tbl>
    <w:p>
      <w:pPr>
        <w:spacing w:after="20"/>
      </w:pPr>
    </w:p>
    <w:p>
      <w:r>
        <w:t>In this dataset, discount levels of 30% and above shown in the table have negative aggregate profit. The grouping is observational: products sold, regions, quantities, costs, and order characteristics may differ between discount groups. Treat this as a signal to review discount policies and transaction economics, not as proof that a discount alone caused a loss.</w:t>
      </w:r>
    </w:p>
    <w:p>
      <w:pPr>
        <w:pStyle w:val="Heading2"/>
      </w:pPr>
      <w:r>
        <w:t>5.4 Regional performance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0"/>
            </w:pPr>
            <w:r/>
            <w:r>
              <w:rPr>
                <w:rFonts w:ascii="Aptos" w:hAnsi="Aptos"/>
                <w:b/>
                <w:color w:val="FFFFFF"/>
                <w:sz w:val="17"/>
              </w:rPr>
              <w:t>Region</w:t>
            </w:r>
          </w:p>
        </w:tc>
        <w:tc>
          <w:tcPr>
            <w:tcW w:type="dxa" w:w="2520"/>
            <w:vAlign w:val="center"/>
            <w:shd w:fill="17365D"/>
          </w:tcPr>
          <w:p>
            <w:pPr>
              <w:spacing w:after="0"/>
            </w:pPr>
            <w:r/>
            <w:r>
              <w:rPr>
                <w:rFonts w:ascii="Aptos" w:hAnsi="Aptos"/>
                <w:b/>
                <w:color w:val="FFFFFF"/>
                <w:sz w:val="17"/>
              </w:rPr>
              <w:t>Sales</w:t>
            </w:r>
          </w:p>
        </w:tc>
        <w:tc>
          <w:tcPr>
            <w:tcW w:type="dxa" w:w="2520"/>
            <w:vAlign w:val="center"/>
            <w:shd w:fill="17365D"/>
          </w:tcPr>
          <w:p>
            <w:pPr>
              <w:spacing w:after="0"/>
            </w:pPr>
            <w:r/>
            <w:r>
              <w:rPr>
                <w:rFonts w:ascii="Aptos" w:hAnsi="Aptos"/>
                <w:b/>
                <w:color w:val="FFFFFF"/>
                <w:sz w:val="17"/>
              </w:rPr>
              <w:t>Profit</w:t>
            </w:r>
          </w:p>
        </w:tc>
        <w:tc>
          <w:tcPr>
            <w:tcW w:type="dxa" w:w="2520"/>
            <w:vAlign w:val="center"/>
            <w:shd w:fill="17365D"/>
          </w:tcPr>
          <w:p>
            <w:pPr>
              <w:spacing w:after="0"/>
            </w:pPr>
            <w:r/>
            <w:r>
              <w:rPr>
                <w:rFonts w:ascii="Aptos" w:hAnsi="Aptos"/>
                <w:b/>
                <w:color w:val="FFFFFF"/>
                <w:sz w:val="17"/>
              </w:rPr>
              <w:t>Profit margin</w:t>
            </w:r>
          </w:p>
        </w:tc>
      </w:tr>
      <w:tr>
        <w:tc>
          <w:tcPr>
            <w:tcW w:type="dxa" w:w="2520"/>
            <w:vAlign w:val="center"/>
          </w:tcPr>
          <w:p>
            <w:pPr>
              <w:spacing w:after="0"/>
            </w:pPr>
            <w:r/>
            <w:r>
              <w:rPr>
                <w:rFonts w:ascii="Aptos" w:hAnsi="Aptos"/>
                <w:b w:val="0"/>
                <w:sz w:val="16"/>
              </w:rPr>
              <w:t>West</w:t>
            </w:r>
          </w:p>
        </w:tc>
        <w:tc>
          <w:tcPr>
            <w:tcW w:type="dxa" w:w="2520"/>
            <w:vAlign w:val="center"/>
          </w:tcPr>
          <w:p>
            <w:pPr>
              <w:spacing w:after="0"/>
            </w:pPr>
            <w:r/>
            <w:r>
              <w:rPr>
                <w:rFonts w:ascii="Aptos" w:hAnsi="Aptos"/>
                <w:b w:val="0"/>
                <w:sz w:val="16"/>
              </w:rPr>
              <w:t>$725,457.82</w:t>
            </w:r>
          </w:p>
        </w:tc>
        <w:tc>
          <w:tcPr>
            <w:tcW w:type="dxa" w:w="2520"/>
            <w:vAlign w:val="center"/>
          </w:tcPr>
          <w:p>
            <w:pPr>
              <w:spacing w:after="0"/>
            </w:pPr>
            <w:r/>
            <w:r>
              <w:rPr>
                <w:rFonts w:ascii="Aptos" w:hAnsi="Aptos"/>
                <w:b w:val="0"/>
                <w:sz w:val="16"/>
              </w:rPr>
              <w:t>$108,418.45</w:t>
            </w:r>
          </w:p>
        </w:tc>
        <w:tc>
          <w:tcPr>
            <w:tcW w:type="dxa" w:w="2520"/>
            <w:vAlign w:val="center"/>
          </w:tcPr>
          <w:p>
            <w:pPr>
              <w:spacing w:after="0"/>
            </w:pPr>
            <w:r/>
            <w:r>
              <w:rPr>
                <w:rFonts w:ascii="Aptos" w:hAnsi="Aptos"/>
                <w:b w:val="0"/>
                <w:sz w:val="16"/>
              </w:rPr>
              <w:t>14.94%</w:t>
            </w:r>
          </w:p>
        </w:tc>
      </w:tr>
      <w:tr>
        <w:tc>
          <w:tcPr>
            <w:tcW w:type="dxa" w:w="2520"/>
            <w:vAlign w:val="center"/>
            <w:shd w:fill="F1F4F8"/>
          </w:tcPr>
          <w:p>
            <w:pPr>
              <w:spacing w:after="0"/>
            </w:pPr>
            <w:r/>
            <w:r>
              <w:rPr>
                <w:rFonts w:ascii="Aptos" w:hAnsi="Aptos"/>
                <w:b w:val="0"/>
                <w:sz w:val="16"/>
              </w:rPr>
              <w:t>East</w:t>
            </w:r>
          </w:p>
        </w:tc>
        <w:tc>
          <w:tcPr>
            <w:tcW w:type="dxa" w:w="2520"/>
            <w:vAlign w:val="center"/>
            <w:shd w:fill="F1F4F8"/>
          </w:tcPr>
          <w:p>
            <w:pPr>
              <w:spacing w:after="0"/>
            </w:pPr>
            <w:r/>
            <w:r>
              <w:rPr>
                <w:rFonts w:ascii="Aptos" w:hAnsi="Aptos"/>
                <w:b w:val="0"/>
                <w:sz w:val="16"/>
              </w:rPr>
              <w:t>$678,781.24</w:t>
            </w:r>
          </w:p>
        </w:tc>
        <w:tc>
          <w:tcPr>
            <w:tcW w:type="dxa" w:w="2520"/>
            <w:vAlign w:val="center"/>
            <w:shd w:fill="F1F4F8"/>
          </w:tcPr>
          <w:p>
            <w:pPr>
              <w:spacing w:after="0"/>
            </w:pPr>
            <w:r/>
            <w:r>
              <w:rPr>
                <w:rFonts w:ascii="Aptos" w:hAnsi="Aptos"/>
                <w:b w:val="0"/>
                <w:sz w:val="16"/>
              </w:rPr>
              <w:t>$91,522.78</w:t>
            </w:r>
          </w:p>
        </w:tc>
        <w:tc>
          <w:tcPr>
            <w:tcW w:type="dxa" w:w="2520"/>
            <w:vAlign w:val="center"/>
            <w:shd w:fill="F1F4F8"/>
          </w:tcPr>
          <w:p>
            <w:pPr>
              <w:spacing w:after="0"/>
            </w:pPr>
            <w:r/>
            <w:r>
              <w:rPr>
                <w:rFonts w:ascii="Aptos" w:hAnsi="Aptos"/>
                <w:b w:val="0"/>
                <w:sz w:val="16"/>
              </w:rPr>
              <w:t>13.48%</w:t>
            </w:r>
          </w:p>
        </w:tc>
      </w:tr>
      <w:tr>
        <w:tc>
          <w:tcPr>
            <w:tcW w:type="dxa" w:w="2520"/>
            <w:vAlign w:val="center"/>
          </w:tcPr>
          <w:p>
            <w:pPr>
              <w:spacing w:after="0"/>
            </w:pPr>
            <w:r/>
            <w:r>
              <w:rPr>
                <w:rFonts w:ascii="Aptos" w:hAnsi="Aptos"/>
                <w:b w:val="0"/>
                <w:sz w:val="16"/>
              </w:rPr>
              <w:t>South</w:t>
            </w:r>
          </w:p>
        </w:tc>
        <w:tc>
          <w:tcPr>
            <w:tcW w:type="dxa" w:w="2520"/>
            <w:vAlign w:val="center"/>
          </w:tcPr>
          <w:p>
            <w:pPr>
              <w:spacing w:after="0"/>
            </w:pPr>
            <w:r/>
            <w:r>
              <w:rPr>
                <w:rFonts w:ascii="Aptos" w:hAnsi="Aptos"/>
                <w:b w:val="0"/>
                <w:sz w:val="16"/>
              </w:rPr>
              <w:t>$391,721.91</w:t>
            </w:r>
          </w:p>
        </w:tc>
        <w:tc>
          <w:tcPr>
            <w:tcW w:type="dxa" w:w="2520"/>
            <w:vAlign w:val="center"/>
          </w:tcPr>
          <w:p>
            <w:pPr>
              <w:spacing w:after="0"/>
            </w:pPr>
            <w:r/>
            <w:r>
              <w:rPr>
                <w:rFonts w:ascii="Aptos" w:hAnsi="Aptos"/>
                <w:b w:val="0"/>
                <w:sz w:val="16"/>
              </w:rPr>
              <w:t>$46,749.43</w:t>
            </w:r>
          </w:p>
        </w:tc>
        <w:tc>
          <w:tcPr>
            <w:tcW w:type="dxa" w:w="2520"/>
            <w:vAlign w:val="center"/>
          </w:tcPr>
          <w:p>
            <w:pPr>
              <w:spacing w:after="0"/>
            </w:pPr>
            <w:r/>
            <w:r>
              <w:rPr>
                <w:rFonts w:ascii="Aptos" w:hAnsi="Aptos"/>
                <w:b w:val="0"/>
                <w:sz w:val="16"/>
              </w:rPr>
              <w:t>11.93%</w:t>
            </w:r>
          </w:p>
        </w:tc>
      </w:tr>
      <w:tr>
        <w:tc>
          <w:tcPr>
            <w:tcW w:type="dxa" w:w="2520"/>
            <w:vAlign w:val="center"/>
            <w:shd w:fill="F1F4F8"/>
          </w:tcPr>
          <w:p>
            <w:pPr>
              <w:spacing w:after="0"/>
            </w:pPr>
            <w:r/>
            <w:r>
              <w:rPr>
                <w:rFonts w:ascii="Aptos" w:hAnsi="Aptos"/>
                <w:b w:val="0"/>
                <w:sz w:val="16"/>
              </w:rPr>
              <w:t>Central</w:t>
            </w:r>
          </w:p>
        </w:tc>
        <w:tc>
          <w:tcPr>
            <w:tcW w:type="dxa" w:w="2520"/>
            <w:vAlign w:val="center"/>
            <w:shd w:fill="F1F4F8"/>
          </w:tcPr>
          <w:p>
            <w:pPr>
              <w:spacing w:after="0"/>
            </w:pPr>
            <w:r/>
            <w:r>
              <w:rPr>
                <w:rFonts w:ascii="Aptos" w:hAnsi="Aptos"/>
                <w:b w:val="0"/>
                <w:sz w:val="16"/>
              </w:rPr>
              <w:t>$501,239.89</w:t>
            </w:r>
          </w:p>
        </w:tc>
        <w:tc>
          <w:tcPr>
            <w:tcW w:type="dxa" w:w="2520"/>
            <w:vAlign w:val="center"/>
            <w:shd w:fill="F1F4F8"/>
          </w:tcPr>
          <w:p>
            <w:pPr>
              <w:spacing w:after="0"/>
            </w:pPr>
            <w:r/>
            <w:r>
              <w:rPr>
                <w:rFonts w:ascii="Aptos" w:hAnsi="Aptos"/>
                <w:b w:val="0"/>
                <w:sz w:val="16"/>
              </w:rPr>
              <w:t>$39,706.36</w:t>
            </w:r>
          </w:p>
        </w:tc>
        <w:tc>
          <w:tcPr>
            <w:tcW w:type="dxa" w:w="2520"/>
            <w:vAlign w:val="center"/>
            <w:shd w:fill="F1F4F8"/>
          </w:tcPr>
          <w:p>
            <w:pPr>
              <w:spacing w:after="0"/>
            </w:pPr>
            <w:r/>
            <w:r>
              <w:rPr>
                <w:rFonts w:ascii="Aptos" w:hAnsi="Aptos"/>
                <w:b w:val="0"/>
                <w:sz w:val="16"/>
              </w:rPr>
              <w:t>7.92%</w:t>
            </w:r>
          </w:p>
        </w:tc>
      </w:tr>
    </w:tbl>
    <w:p>
      <w:pPr>
        <w:spacing w:after="20"/>
      </w:pPr>
    </w:p>
    <w:p>
      <w:r>
        <w:t>West has the highest total sales and profit among the four regions. East is second-highest by total profit. Central has the lowest total profit and the lowest regional profit margin in this comparison. Regional totals help prioritise investigation but do not explain why performance differs.</w:t>
      </w:r>
    </w:p>
    <w:p>
      <w:pPr>
        <w:pStyle w:val="Heading2"/>
      </w:pPr>
      <w:r>
        <w:t>5.5 Product-level loss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0"/>
            </w:pPr>
            <w:r/>
            <w:r>
              <w:rPr>
                <w:rFonts w:ascii="Aptos" w:hAnsi="Aptos"/>
                <w:b/>
                <w:color w:val="FFFFFF"/>
                <w:sz w:val="17"/>
              </w:rPr>
              <w:t>Product</w:t>
            </w:r>
          </w:p>
        </w:tc>
        <w:tc>
          <w:tcPr>
            <w:tcW w:type="dxa" w:w="3360"/>
            <w:vAlign w:val="center"/>
            <w:shd w:fill="17365D"/>
          </w:tcPr>
          <w:p>
            <w:pPr>
              <w:spacing w:after="0"/>
            </w:pPr>
            <w:r/>
            <w:r>
              <w:rPr>
                <w:rFonts w:ascii="Aptos" w:hAnsi="Aptos"/>
                <w:b/>
                <w:color w:val="FFFFFF"/>
                <w:sz w:val="17"/>
              </w:rPr>
              <w:t>Sales</w:t>
            </w:r>
          </w:p>
        </w:tc>
        <w:tc>
          <w:tcPr>
            <w:tcW w:type="dxa" w:w="3360"/>
            <w:vAlign w:val="center"/>
            <w:shd w:fill="17365D"/>
          </w:tcPr>
          <w:p>
            <w:pPr>
              <w:spacing w:after="0"/>
            </w:pPr>
            <w:r/>
            <w:r>
              <w:rPr>
                <w:rFonts w:ascii="Aptos" w:hAnsi="Aptos"/>
                <w:b/>
                <w:color w:val="FFFFFF"/>
                <w:sz w:val="17"/>
              </w:rPr>
              <w:t>Profit</w:t>
            </w:r>
          </w:p>
        </w:tc>
      </w:tr>
      <w:tr>
        <w:tc>
          <w:tcPr>
            <w:tcW w:type="dxa" w:w="3360"/>
            <w:vAlign w:val="center"/>
          </w:tcPr>
          <w:p>
            <w:pPr>
              <w:spacing w:after="0"/>
            </w:pPr>
            <w:r/>
            <w:r>
              <w:rPr>
                <w:rFonts w:ascii="Aptos" w:hAnsi="Aptos"/>
                <w:b w:val="0"/>
                <w:sz w:val="16"/>
              </w:rPr>
              <w:t>Cubify CubeX 3D Printer Double Head Print</w:t>
            </w:r>
          </w:p>
        </w:tc>
        <w:tc>
          <w:tcPr>
            <w:tcW w:type="dxa" w:w="3360"/>
            <w:vAlign w:val="center"/>
          </w:tcPr>
          <w:p>
            <w:pPr>
              <w:spacing w:after="0"/>
            </w:pPr>
            <w:r/>
            <w:r>
              <w:rPr>
                <w:rFonts w:ascii="Aptos" w:hAnsi="Aptos"/>
                <w:b w:val="0"/>
                <w:sz w:val="16"/>
              </w:rPr>
              <w:t>$11,099.96</w:t>
            </w:r>
          </w:p>
        </w:tc>
        <w:tc>
          <w:tcPr>
            <w:tcW w:type="dxa" w:w="3360"/>
            <w:vAlign w:val="center"/>
          </w:tcPr>
          <w:p>
            <w:pPr>
              <w:spacing w:after="0"/>
            </w:pPr>
            <w:r/>
            <w:r>
              <w:rPr>
                <w:rFonts w:ascii="Aptos" w:hAnsi="Aptos"/>
                <w:b w:val="0"/>
                <w:sz w:val="16"/>
              </w:rPr>
              <w:t>$-8,879.97</w:t>
            </w:r>
          </w:p>
        </w:tc>
      </w:tr>
      <w:tr>
        <w:tc>
          <w:tcPr>
            <w:tcW w:type="dxa" w:w="3360"/>
            <w:vAlign w:val="center"/>
            <w:shd w:fill="F1F4F8"/>
          </w:tcPr>
          <w:p>
            <w:pPr>
              <w:spacing w:after="0"/>
            </w:pPr>
            <w:r/>
            <w:r>
              <w:rPr>
                <w:rFonts w:ascii="Aptos" w:hAnsi="Aptos"/>
                <w:b w:val="0"/>
                <w:sz w:val="16"/>
              </w:rPr>
              <w:t>Lexmark MX611dhe Monochrome Laser Printer</w:t>
            </w:r>
          </w:p>
        </w:tc>
        <w:tc>
          <w:tcPr>
            <w:tcW w:type="dxa" w:w="3360"/>
            <w:vAlign w:val="center"/>
            <w:shd w:fill="F1F4F8"/>
          </w:tcPr>
          <w:p>
            <w:pPr>
              <w:spacing w:after="0"/>
            </w:pPr>
            <w:r/>
            <w:r>
              <w:rPr>
                <w:rFonts w:ascii="Aptos" w:hAnsi="Aptos"/>
                <w:b w:val="0"/>
                <w:sz w:val="16"/>
              </w:rPr>
              <w:t>$16,829.90</w:t>
            </w:r>
          </w:p>
        </w:tc>
        <w:tc>
          <w:tcPr>
            <w:tcW w:type="dxa" w:w="3360"/>
            <w:vAlign w:val="center"/>
            <w:shd w:fill="F1F4F8"/>
          </w:tcPr>
          <w:p>
            <w:pPr>
              <w:spacing w:after="0"/>
            </w:pPr>
            <w:r/>
            <w:r>
              <w:rPr>
                <w:rFonts w:ascii="Aptos" w:hAnsi="Aptos"/>
                <w:b w:val="0"/>
                <w:sz w:val="16"/>
              </w:rPr>
              <w:t>$-4,589.97</w:t>
            </w:r>
          </w:p>
        </w:tc>
      </w:tr>
      <w:tr>
        <w:tc>
          <w:tcPr>
            <w:tcW w:type="dxa" w:w="3360"/>
            <w:vAlign w:val="center"/>
          </w:tcPr>
          <w:p>
            <w:pPr>
              <w:spacing w:after="0"/>
            </w:pPr>
            <w:r/>
            <w:r>
              <w:rPr>
                <w:rFonts w:ascii="Aptos" w:hAnsi="Aptos"/>
                <w:b w:val="0"/>
                <w:sz w:val="16"/>
              </w:rPr>
              <w:t>Cubify CubeX 3D Printer Triple Head Print</w:t>
            </w:r>
          </w:p>
        </w:tc>
        <w:tc>
          <w:tcPr>
            <w:tcW w:type="dxa" w:w="3360"/>
            <w:vAlign w:val="center"/>
          </w:tcPr>
          <w:p>
            <w:pPr>
              <w:spacing w:after="0"/>
            </w:pPr>
            <w:r/>
            <w:r>
              <w:rPr>
                <w:rFonts w:ascii="Aptos" w:hAnsi="Aptos"/>
                <w:b w:val="0"/>
                <w:sz w:val="16"/>
              </w:rPr>
              <w:t>$7,999.98</w:t>
            </w:r>
          </w:p>
        </w:tc>
        <w:tc>
          <w:tcPr>
            <w:tcW w:type="dxa" w:w="3360"/>
            <w:vAlign w:val="center"/>
          </w:tcPr>
          <w:p>
            <w:pPr>
              <w:spacing w:after="0"/>
            </w:pPr>
            <w:r/>
            <w:r>
              <w:rPr>
                <w:rFonts w:ascii="Aptos" w:hAnsi="Aptos"/>
                <w:b w:val="0"/>
                <w:sz w:val="16"/>
              </w:rPr>
              <w:t>$-3,839.99</w:t>
            </w:r>
          </w:p>
        </w:tc>
      </w:tr>
      <w:tr>
        <w:tc>
          <w:tcPr>
            <w:tcW w:type="dxa" w:w="3360"/>
            <w:vAlign w:val="center"/>
            <w:shd w:fill="F1F4F8"/>
          </w:tcPr>
          <w:p>
            <w:pPr>
              <w:spacing w:after="0"/>
            </w:pPr>
            <w:r/>
            <w:r>
              <w:rPr>
                <w:rFonts w:ascii="Aptos" w:hAnsi="Aptos"/>
                <w:b w:val="0"/>
                <w:sz w:val="16"/>
              </w:rPr>
              <w:t>Chromcraft Bull-Nose Wood Oval Conference Tables &amp; Bases</w:t>
            </w:r>
          </w:p>
        </w:tc>
        <w:tc>
          <w:tcPr>
            <w:tcW w:type="dxa" w:w="3360"/>
            <w:vAlign w:val="center"/>
            <w:shd w:fill="F1F4F8"/>
          </w:tcPr>
          <w:p>
            <w:pPr>
              <w:spacing w:after="0"/>
            </w:pPr>
            <w:r/>
            <w:r>
              <w:rPr>
                <w:rFonts w:ascii="Aptos" w:hAnsi="Aptos"/>
                <w:b w:val="0"/>
                <w:sz w:val="16"/>
              </w:rPr>
              <w:t>$9,917.64</w:t>
            </w:r>
          </w:p>
        </w:tc>
        <w:tc>
          <w:tcPr>
            <w:tcW w:type="dxa" w:w="3360"/>
            <w:vAlign w:val="center"/>
            <w:shd w:fill="F1F4F8"/>
          </w:tcPr>
          <w:p>
            <w:pPr>
              <w:spacing w:after="0"/>
            </w:pPr>
            <w:r/>
            <w:r>
              <w:rPr>
                <w:rFonts w:ascii="Aptos" w:hAnsi="Aptos"/>
                <w:b w:val="0"/>
                <w:sz w:val="16"/>
              </w:rPr>
              <w:t>$-2,876.12</w:t>
            </w:r>
          </w:p>
        </w:tc>
      </w:tr>
      <w:tr>
        <w:tc>
          <w:tcPr>
            <w:tcW w:type="dxa" w:w="3360"/>
            <w:vAlign w:val="center"/>
          </w:tcPr>
          <w:p>
            <w:pPr>
              <w:spacing w:after="0"/>
            </w:pPr>
            <w:r/>
            <w:r>
              <w:rPr>
                <w:rFonts w:ascii="Aptos" w:hAnsi="Aptos"/>
                <w:b w:val="0"/>
                <w:sz w:val="16"/>
              </w:rPr>
              <w:t>Bush Advantage Collection Racetrack Conference Table</w:t>
            </w:r>
          </w:p>
        </w:tc>
        <w:tc>
          <w:tcPr>
            <w:tcW w:type="dxa" w:w="3360"/>
            <w:vAlign w:val="center"/>
          </w:tcPr>
          <w:p>
            <w:pPr>
              <w:spacing w:after="0"/>
            </w:pPr>
            <w:r/>
            <w:r>
              <w:rPr>
                <w:rFonts w:ascii="Aptos" w:hAnsi="Aptos"/>
                <w:b w:val="0"/>
                <w:sz w:val="16"/>
              </w:rPr>
              <w:t>$9,544.73</w:t>
            </w:r>
          </w:p>
        </w:tc>
        <w:tc>
          <w:tcPr>
            <w:tcW w:type="dxa" w:w="3360"/>
            <w:vAlign w:val="center"/>
          </w:tcPr>
          <w:p>
            <w:pPr>
              <w:spacing w:after="0"/>
            </w:pPr>
            <w:r/>
            <w:r>
              <w:rPr>
                <w:rFonts w:ascii="Aptos" w:hAnsi="Aptos"/>
                <w:b w:val="0"/>
                <w:sz w:val="16"/>
              </w:rPr>
              <w:t>$-1,934.40</w:t>
            </w:r>
          </w:p>
        </w:tc>
      </w:tr>
      <w:tr>
        <w:tc>
          <w:tcPr>
            <w:tcW w:type="dxa" w:w="3360"/>
            <w:vAlign w:val="center"/>
            <w:shd w:fill="F1F4F8"/>
          </w:tcPr>
          <w:p>
            <w:pPr>
              <w:spacing w:after="0"/>
            </w:pPr>
            <w:r/>
            <w:r>
              <w:rPr>
                <w:rFonts w:ascii="Aptos" w:hAnsi="Aptos"/>
                <w:b w:val="0"/>
                <w:sz w:val="16"/>
              </w:rPr>
              <w:t>GBC DocuBind P400 Electric Binding System</w:t>
            </w:r>
          </w:p>
        </w:tc>
        <w:tc>
          <w:tcPr>
            <w:tcW w:type="dxa" w:w="3360"/>
            <w:vAlign w:val="center"/>
            <w:shd w:fill="F1F4F8"/>
          </w:tcPr>
          <w:p>
            <w:pPr>
              <w:spacing w:after="0"/>
            </w:pPr>
            <w:r/>
            <w:r>
              <w:rPr>
                <w:rFonts w:ascii="Aptos" w:hAnsi="Aptos"/>
                <w:b w:val="0"/>
                <w:sz w:val="16"/>
              </w:rPr>
              <w:t>$17,965.07</w:t>
            </w:r>
          </w:p>
        </w:tc>
        <w:tc>
          <w:tcPr>
            <w:tcW w:type="dxa" w:w="3360"/>
            <w:vAlign w:val="center"/>
            <w:shd w:fill="F1F4F8"/>
          </w:tcPr>
          <w:p>
            <w:pPr>
              <w:spacing w:after="0"/>
            </w:pPr>
            <w:r/>
            <w:r>
              <w:rPr>
                <w:rFonts w:ascii="Aptos" w:hAnsi="Aptos"/>
                <w:b w:val="0"/>
                <w:sz w:val="16"/>
              </w:rPr>
              <w:t>$-1,878.17</w:t>
            </w:r>
          </w:p>
        </w:tc>
      </w:tr>
      <w:tr>
        <w:tc>
          <w:tcPr>
            <w:tcW w:type="dxa" w:w="3360"/>
            <w:vAlign w:val="center"/>
          </w:tcPr>
          <w:p>
            <w:pPr>
              <w:spacing w:after="0"/>
            </w:pPr>
            <w:r/>
            <w:r>
              <w:rPr>
                <w:rFonts w:ascii="Aptos" w:hAnsi="Aptos"/>
                <w:b w:val="0"/>
                <w:sz w:val="16"/>
              </w:rPr>
              <w:t>Cisco TelePresence System EX90 Videoconferencing Unit</w:t>
            </w:r>
          </w:p>
        </w:tc>
        <w:tc>
          <w:tcPr>
            <w:tcW w:type="dxa" w:w="3360"/>
            <w:vAlign w:val="center"/>
          </w:tcPr>
          <w:p>
            <w:pPr>
              <w:spacing w:after="0"/>
            </w:pPr>
            <w:r/>
            <w:r>
              <w:rPr>
                <w:rFonts w:ascii="Aptos" w:hAnsi="Aptos"/>
                <w:b w:val="0"/>
                <w:sz w:val="16"/>
              </w:rPr>
              <w:t>$22,638.48</w:t>
            </w:r>
          </w:p>
        </w:tc>
        <w:tc>
          <w:tcPr>
            <w:tcW w:type="dxa" w:w="3360"/>
            <w:vAlign w:val="center"/>
          </w:tcPr>
          <w:p>
            <w:pPr>
              <w:spacing w:after="0"/>
            </w:pPr>
            <w:r/>
            <w:r>
              <w:rPr>
                <w:rFonts w:ascii="Aptos" w:hAnsi="Aptos"/>
                <w:b w:val="0"/>
                <w:sz w:val="16"/>
              </w:rPr>
              <w:t>$-1,811.08</w:t>
            </w:r>
          </w:p>
        </w:tc>
      </w:tr>
      <w:tr>
        <w:tc>
          <w:tcPr>
            <w:tcW w:type="dxa" w:w="3360"/>
            <w:vAlign w:val="center"/>
            <w:shd w:fill="F1F4F8"/>
          </w:tcPr>
          <w:p>
            <w:pPr>
              <w:spacing w:after="0"/>
            </w:pPr>
            <w:r/>
            <w:r>
              <w:rPr>
                <w:rFonts w:ascii="Aptos" w:hAnsi="Aptos"/>
                <w:b w:val="0"/>
                <w:sz w:val="16"/>
              </w:rPr>
              <w:t>Martin Yale Chadless Opener Electric Letter Opener</w:t>
            </w:r>
          </w:p>
        </w:tc>
        <w:tc>
          <w:tcPr>
            <w:tcW w:type="dxa" w:w="3360"/>
            <w:vAlign w:val="center"/>
            <w:shd w:fill="F1F4F8"/>
          </w:tcPr>
          <w:p>
            <w:pPr>
              <w:spacing w:after="0"/>
            </w:pPr>
            <w:r/>
            <w:r>
              <w:rPr>
                <w:rFonts w:ascii="Aptos" w:hAnsi="Aptos"/>
                <w:b w:val="0"/>
                <w:sz w:val="16"/>
              </w:rPr>
              <w:t>$16,656.20</w:t>
            </w:r>
          </w:p>
        </w:tc>
        <w:tc>
          <w:tcPr>
            <w:tcW w:type="dxa" w:w="3360"/>
            <w:vAlign w:val="center"/>
            <w:shd w:fill="F1F4F8"/>
          </w:tcPr>
          <w:p>
            <w:pPr>
              <w:spacing w:after="0"/>
            </w:pPr>
            <w:r/>
            <w:r>
              <w:rPr>
                <w:rFonts w:ascii="Aptos" w:hAnsi="Aptos"/>
                <w:b w:val="0"/>
                <w:sz w:val="16"/>
              </w:rPr>
              <w:t>$-1,299.18</w:t>
            </w:r>
          </w:p>
        </w:tc>
      </w:tr>
      <w:tr>
        <w:tc>
          <w:tcPr>
            <w:tcW w:type="dxa" w:w="3360"/>
            <w:vAlign w:val="center"/>
          </w:tcPr>
          <w:p>
            <w:pPr>
              <w:spacing w:after="0"/>
            </w:pPr>
            <w:r/>
            <w:r>
              <w:rPr>
                <w:rFonts w:ascii="Aptos" w:hAnsi="Aptos"/>
                <w:b w:val="0"/>
                <w:sz w:val="16"/>
              </w:rPr>
              <w:t>Balt Solid Wood Round Tables</w:t>
            </w:r>
          </w:p>
        </w:tc>
        <w:tc>
          <w:tcPr>
            <w:tcW w:type="dxa" w:w="3360"/>
            <w:vAlign w:val="center"/>
          </w:tcPr>
          <w:p>
            <w:pPr>
              <w:spacing w:after="0"/>
            </w:pPr>
            <w:r/>
            <w:r>
              <w:rPr>
                <w:rFonts w:ascii="Aptos" w:hAnsi="Aptos"/>
                <w:b w:val="0"/>
                <w:sz w:val="16"/>
              </w:rPr>
              <w:t>$6,518.75</w:t>
            </w:r>
          </w:p>
        </w:tc>
        <w:tc>
          <w:tcPr>
            <w:tcW w:type="dxa" w:w="3360"/>
            <w:vAlign w:val="center"/>
          </w:tcPr>
          <w:p>
            <w:pPr>
              <w:spacing w:after="0"/>
            </w:pPr>
            <w:r/>
            <w:r>
              <w:rPr>
                <w:rFonts w:ascii="Aptos" w:hAnsi="Aptos"/>
                <w:b w:val="0"/>
                <w:sz w:val="16"/>
              </w:rPr>
              <w:t>$-1,201.06</w:t>
            </w:r>
          </w:p>
        </w:tc>
      </w:tr>
      <w:tr>
        <w:tc>
          <w:tcPr>
            <w:tcW w:type="dxa" w:w="3360"/>
            <w:vAlign w:val="center"/>
            <w:shd w:fill="F1F4F8"/>
          </w:tcPr>
          <w:p>
            <w:pPr>
              <w:spacing w:after="0"/>
            </w:pPr>
            <w:r/>
            <w:r>
              <w:rPr>
                <w:rFonts w:ascii="Aptos" w:hAnsi="Aptos"/>
                <w:b w:val="0"/>
                <w:sz w:val="16"/>
              </w:rPr>
              <w:t>BoxOffice By Design Rectangular and Half-Moon Meeting Room Tables</w:t>
            </w:r>
          </w:p>
        </w:tc>
        <w:tc>
          <w:tcPr>
            <w:tcW w:type="dxa" w:w="3360"/>
            <w:vAlign w:val="center"/>
            <w:shd w:fill="F1F4F8"/>
          </w:tcPr>
          <w:p>
            <w:pPr>
              <w:spacing w:after="0"/>
            </w:pPr>
            <w:r/>
            <w:r>
              <w:rPr>
                <w:rFonts w:ascii="Aptos" w:hAnsi="Aptos"/>
                <w:b w:val="0"/>
                <w:sz w:val="16"/>
              </w:rPr>
              <w:t>$1,706.25</w:t>
            </w:r>
          </w:p>
        </w:tc>
        <w:tc>
          <w:tcPr>
            <w:tcW w:type="dxa" w:w="3360"/>
            <w:vAlign w:val="center"/>
            <w:shd w:fill="F1F4F8"/>
          </w:tcPr>
          <w:p>
            <w:pPr>
              <w:spacing w:after="0"/>
            </w:pPr>
            <w:r/>
            <w:r>
              <w:rPr>
                <w:rFonts w:ascii="Aptos" w:hAnsi="Aptos"/>
                <w:b w:val="0"/>
                <w:sz w:val="16"/>
              </w:rPr>
              <w:t>$-1,148.44</w:t>
            </w:r>
          </w:p>
        </w:tc>
      </w:tr>
    </w:tbl>
    <w:p>
      <w:pPr>
        <w:spacing w:after="20"/>
      </w:pPr>
    </w:p>
    <w:p>
      <w:r>
        <w:t>The lowest-profit products include items from Technology as well as Furniture. This shows that loss exposure is not limited to one category. Investigate product costs, discounts, returns, shipping and order details where these data are available.</w:t>
      </w:r>
    </w:p>
    <w:p>
      <w:pPr>
        <w:pStyle w:val="Heading2"/>
      </w:pPr>
      <w:r>
        <w:t>5.6 Time trends and relationships</w:t>
      </w:r>
    </w:p>
    <w:p>
      <w:r>
        <w:t>The EDA notebook includes monthly sales and profit trends, a sales-versus-profit scatter plot, and a correlation matrix. The supporting visual report describes month-to-month sales fluctuation and variation in the sales-profit relationship. Specific correlation coefficients and exact monthly turning points are not reported here because they were not documented in the supplied written findings.</w:t>
      </w:r>
    </w:p>
    <w:p>
      <w:pPr>
        <w:pStyle w:val="Heading1"/>
      </w:pPr>
      <w:r>
        <w:t>6. SQL Analysis</w:t>
      </w:r>
    </w:p>
    <w:p>
      <w:r>
        <w:t>The project includes a SQL analysis script with 23 numbered business queries and a database schema. The intended SQL workflow covers record inspection, filtering, sorting, aggregation, grouped comparisons, and business-focused analysis.</w:t>
      </w:r>
    </w:p>
    <w:p>
      <w:r>
        <w:t>A corrected SQLite database was prepared from the cleaned CSV so that the `superstore` table contains the transaction records. Use the corrected populated database rather than the earlier empty database.</w:t>
      </w:r>
    </w:p>
    <w:p>
      <w:r>
        <w:t>Business questions addressed or suitable for the SQL section include:</w:t>
      </w:r>
    </w:p>
    <w:p>
      <w:pPr>
        <w:pStyle w:val="ListBullet"/>
        <w:spacing w:after="40"/>
      </w:pPr>
      <w:r>
        <w:t>What are total sales, total profit, and total quantity?</w:t>
      </w:r>
    </w:p>
    <w:p>
      <w:pPr>
        <w:pStyle w:val="ListBullet"/>
        <w:spacing w:after="40"/>
      </w:pPr>
      <w:r>
        <w:t>Which categories and sub-categories generate the most and least profit?</w:t>
      </w:r>
    </w:p>
    <w:p>
      <w:pPr>
        <w:pStyle w:val="ListBullet"/>
        <w:spacing w:after="40"/>
      </w:pPr>
      <w:r>
        <w:t>How does total profit vary by region?</w:t>
      </w:r>
    </w:p>
    <w:p>
      <w:pPr>
        <w:pStyle w:val="ListBullet"/>
        <w:spacing w:after="40"/>
      </w:pPr>
      <w:r>
        <w:t>Which discount levels are associated with aggregate losses?</w:t>
      </w:r>
    </w:p>
    <w:p>
      <w:pPr>
        <w:pStyle w:val="ListBullet"/>
        <w:spacing w:after="40"/>
      </w:pPr>
      <w:r>
        <w:t>Which products have the lowest total profit?</w:t>
      </w:r>
    </w:p>
    <w:p>
      <w:r>
        <w:t>For the final submission, include the SQL script and representative query outputs or screenshots. Confirm query results after opening the corrected database in your SQLite environment.</w:t>
      </w:r>
    </w:p>
    <w:p>
      <w:pPr>
        <w:pStyle w:val="Heading1"/>
      </w:pPr>
      <w:r>
        <w:t>7. Dashboard and Visualisation</w:t>
      </w:r>
    </w:p>
    <w:p>
      <w:r>
        <w:t>The Power BI report brings the main findings together in an interactive view. The dashboard layout includes KPI cards, slicers, category and sub-category comparisons, a monthly sales trend, regional profit, and product-level analysis.</w:t>
      </w:r>
    </w:p>
    <w:p>
      <w:pPr>
        <w:pStyle w:val="ListBullet"/>
        <w:spacing w:after="40"/>
      </w:pPr>
      <w:r>
        <w:t>KPI cards: Total Sales, Total Profit, Quantity Sold, and Profit Margin.</w:t>
      </w:r>
    </w:p>
    <w:p>
      <w:pPr>
        <w:pStyle w:val="ListBullet"/>
        <w:spacing w:after="40"/>
      </w:pPr>
      <w:r>
        <w:t>Slicers: Year/date, Category, Region, Segment, and Ship Mode where available.</w:t>
      </w:r>
    </w:p>
    <w:p>
      <w:pPr>
        <w:pStyle w:val="ListBullet"/>
        <w:spacing w:after="40"/>
      </w:pPr>
      <w:r>
        <w:t>Charts: Sales and Profit by Category, Profit by Sub-category, Monthly Sales Trend, and Profit by Region.</w:t>
      </w:r>
    </w:p>
    <w:p>
      <w:pPr>
        <w:pStyle w:val="ListBullet"/>
        <w:spacing w:after="40"/>
      </w:pPr>
      <w:r>
        <w:t>Product analysis: Top and bottom products by profit, or a product table that can be filtered interactively.</w:t>
      </w:r>
    </w:p>
    <w:p>
      <w:r>
        <w:t>Before submission, verify that slicers filter the intended visuals, the monthly axis is chronological, currency and percentage formats are correct, and dashboard values reconcile with Python and SQL totals.</w:t>
      </w:r>
    </w:p>
    <w:p>
      <w:pPr>
        <w:pStyle w:val="Heading1"/>
      </w:pPr>
      <w:r>
        <w:t>8. Key Insights</w:t>
      </w:r>
    </w:p>
    <w:p>
      <w:pPr>
        <w:pStyle w:val="ListBullet"/>
        <w:spacing w:after="40"/>
      </w:pPr>
      <w:r>
        <w:t>The dataset generates $2,297,200.86 in sales and $286,397.02 in profit, with an overall margin of 12.47%.</w:t>
      </w:r>
    </w:p>
    <w:p>
      <w:pPr>
        <w:pStyle w:val="ListBullet"/>
        <w:spacing w:after="40"/>
      </w:pPr>
      <w:r>
        <w:t>Technology leads category sales and profit, with a margin of 17.40%.</w:t>
      </w:r>
    </w:p>
    <w:p>
      <w:pPr>
        <w:pStyle w:val="ListBullet"/>
        <w:spacing w:after="40"/>
      </w:pPr>
      <w:r>
        <w:t>Furniture's margin is only 2.49%, substantially below the other categories.</w:t>
      </w:r>
    </w:p>
    <w:p>
      <w:pPr>
        <w:pStyle w:val="ListBullet"/>
        <w:spacing w:after="40"/>
      </w:pPr>
      <w:r>
        <w:t>Tables records $-17,725.48 in negative profit and is the most prominent sub-category loss area.</w:t>
      </w:r>
    </w:p>
    <w:p>
      <w:pPr>
        <w:pStyle w:val="ListBullet"/>
        <w:spacing w:after="40"/>
      </w:pPr>
      <w:r>
        <w:t>Several discount groups at 30% or above have negative aggregate profit, so high-discount transactions deserve closer review.</w:t>
      </w:r>
    </w:p>
    <w:p>
      <w:pPr>
        <w:pStyle w:val="ListBullet"/>
        <w:spacing w:after="40"/>
      </w:pPr>
      <w:r>
        <w:t>Regional performance differs: West leads total profit, while Central has the lowest profit margin in the regional comparison.</w:t>
      </w:r>
    </w:p>
    <w:p>
      <w:pPr>
        <w:pStyle w:val="ListBullet"/>
        <w:spacing w:after="40"/>
      </w:pPr>
      <w:r>
        <w:t>Product-level losses occur across more than one category, showing why the business should investigate individual items rather than rely only on category totals.</w:t>
      </w:r>
    </w:p>
    <w:p>
      <w:pPr>
        <w:pStyle w:val="Heading1"/>
      </w:pPr>
      <w:r>
        <w:t>9. Recommendations</w:t>
      </w:r>
    </w:p>
    <w:p>
      <w:pPr>
        <w:pStyle w:val="ListNumber"/>
        <w:spacing w:after="80"/>
      </w:pPr>
      <w:r>
        <w:rPr>
          <w:b/>
        </w:rPr>
        <w:t xml:space="preserve">Investigate Tables and Bookcases: </w:t>
      </w:r>
      <w:r>
        <w:t>Review product costs, selling prices, discount levels, shipping costs, returns and order characteristics for loss-making transactions. Prioritise products with the largest absolute losses.</w:t>
      </w:r>
    </w:p>
    <w:p>
      <w:pPr>
        <w:pStyle w:val="ListNumber"/>
        <w:spacing w:after="80"/>
      </w:pPr>
      <w:r>
        <w:rPr>
          <w:b/>
        </w:rPr>
        <w:t xml:space="preserve">Review discount controls: </w:t>
      </w:r>
      <w:r>
        <w:t>Analyse the margin of transactions at higher discount levels by category, product, region and quantity. Consider approval thresholds or minimum-margin checks, then test any policy changes before broad rollout.</w:t>
      </w:r>
    </w:p>
    <w:p>
      <w:pPr>
        <w:pStyle w:val="ListNumber"/>
        <w:spacing w:after="80"/>
      </w:pPr>
      <w:r>
        <w:rPr>
          <w:b/>
        </w:rPr>
        <w:t xml:space="preserve">Protect profitable category performance: </w:t>
      </w:r>
      <w:r>
        <w:t>Investigate which products, customer segments and sales approaches contribute to Technology and Office Supplies margins, and assess whether successful practices can be replicated appropriately.</w:t>
      </w:r>
    </w:p>
    <w:p>
      <w:pPr>
        <w:pStyle w:val="ListNumber"/>
        <w:spacing w:after="80"/>
      </w:pPr>
      <w:r>
        <w:rPr>
          <w:b/>
        </w:rPr>
        <w:t xml:space="preserve">Investigate regional differences: </w:t>
      </w:r>
      <w:r>
        <w:t>Examine Central-region product mix, discounting, shipping and order characteristics to understand its lower margin. Avoid assuming the region itself is the cause.</w:t>
      </w:r>
    </w:p>
    <w:p>
      <w:pPr>
        <w:pStyle w:val="ListNumber"/>
        <w:spacing w:after="80"/>
      </w:pPr>
      <w:r>
        <w:rPr>
          <w:b/>
        </w:rPr>
        <w:t xml:space="preserve">Monitor a consistent KPI set: </w:t>
      </w:r>
      <w:r>
        <w:t>Track sales, profit, profit margin, discount distribution, and loss-making product count in the dashboard. Review both totals and margins so that high sales do not obscure weak profitability.</w:t>
      </w:r>
    </w:p>
    <w:p>
      <w:pPr>
        <w:pStyle w:val="ListNumber"/>
        <w:spacing w:after="80"/>
      </w:pPr>
      <w:r>
        <w:rPr>
          <w:b/>
        </w:rPr>
        <w:t xml:space="preserve">Validate recommendations with further analysis: </w:t>
      </w:r>
      <w:r>
        <w:t>Where possible, include costs, returns, shipping expenses, customer or operational context, and transaction-level comparisons before changing pricing or assortment.</w:t>
      </w:r>
    </w:p>
    <w:p>
      <w:pPr>
        <w:pStyle w:val="Heading1"/>
      </w:pPr>
      <w:r>
        <w:t>10. Limitations and Future Improvements</w:t>
      </w:r>
    </w:p>
    <w:p>
      <w:pPr>
        <w:pStyle w:val="ListBullet"/>
        <w:spacing w:after="40"/>
      </w:pPr>
      <w:r>
        <w:t>The dataset is historical and may not represent current trading conditions or a specific company's present performance.</w:t>
      </w:r>
    </w:p>
    <w:p>
      <w:pPr>
        <w:pStyle w:val="ListBullet"/>
        <w:spacing w:after="40"/>
      </w:pPr>
      <w:r>
        <w:t>The available fields do not fully explain costs, product-level pricing decisions, returns, stock availability, marketing, or operational causes of losses.</w:t>
      </w:r>
    </w:p>
    <w:p>
      <w:pPr>
        <w:pStyle w:val="ListBullet"/>
        <w:spacing w:after="40"/>
      </w:pPr>
      <w:r>
        <w:t>Discount-profit patterns are observational and do not prove causation.</w:t>
      </w:r>
    </w:p>
    <w:p>
      <w:pPr>
        <w:pStyle w:val="ListBullet"/>
        <w:spacing w:after="40"/>
      </w:pPr>
      <w:r>
        <w:t>Monthly patterns should be assessed with complete date handling and year-month sorting; seasonality claims require more evidence.</w:t>
      </w:r>
    </w:p>
    <w:p>
      <w:pPr>
        <w:pStyle w:val="ListBullet"/>
        <w:spacing w:after="40"/>
      </w:pPr>
      <w:r>
        <w:t>The supplied notebook contains analysis code and visual outputs, but not every numerical output is documented in the written report.</w:t>
      </w:r>
    </w:p>
    <w:p>
      <w:pPr>
        <w:pStyle w:val="ListBullet"/>
        <w:spacing w:after="40"/>
      </w:pPr>
      <w:r>
        <w:t>Future work could test profit by customer segment, shipping mode, state, order size, and product-discount combinations; compare year-over-year trends; and evaluate discount changes with a controlled test or careful before-and-after analysis.</w:t>
      </w:r>
    </w:p>
    <w:p>
      <w:pPr>
        <w:pStyle w:val="Heading1"/>
      </w:pPr>
      <w:r>
        <w:t>11. Conclusion</w:t>
      </w:r>
    </w:p>
    <w:p>
      <w:r>
        <w:t>The Superstore analysis demonstrates an end-to-end data workflow using Python, SQL, and Power BI. The main finding is that sales performance and profitability are not interchangeable: Technology performs strongly, Furniture has a comparatively low margin, and Tables is a prominent loss-making sub-category. Discount and regional comparisons highlight areas for further investigation, while product-level results help identify specific loss contributors. The recommended next step is to use the dashboard to monitor these patterns and investigate transaction-level causes before making pricing or product decisions.</w:t>
      </w:r>
    </w:p>
    <w:p>
      <w:pPr>
        <w:pStyle w:val="Heading1"/>
      </w:pPr>
      <w:r>
        <w:t>12. Reproducibility and Deliverables Checklist</w:t>
      </w:r>
    </w:p>
    <w:p>
      <w:pPr>
        <w:pStyle w:val="ListBullet"/>
        <w:spacing w:after="40"/>
      </w:pPr>
      <w:r>
        <w:t>☐ Raw dataset CSV retained.</w:t>
      </w:r>
    </w:p>
    <w:p>
      <w:pPr>
        <w:pStyle w:val="ListBullet"/>
        <w:spacing w:after="40"/>
      </w:pPr>
      <w:r>
        <w:t>☐ Cleaned dataset CSV retained.</w:t>
      </w:r>
    </w:p>
    <w:p>
      <w:pPr>
        <w:pStyle w:val="ListBullet"/>
        <w:spacing w:after="40"/>
      </w:pPr>
      <w:r>
        <w:t>☐ Week 1 cleaning code and documentation included.</w:t>
      </w:r>
    </w:p>
    <w:p>
      <w:pPr>
        <w:pStyle w:val="ListBullet"/>
        <w:spacing w:after="40"/>
      </w:pPr>
      <w:r>
        <w:t>☐ Week 2 EDA notebook, visualisations, and summary report included.</w:t>
      </w:r>
    </w:p>
    <w:p>
      <w:pPr>
        <w:pStyle w:val="ListBullet"/>
        <w:spacing w:after="40"/>
      </w:pPr>
      <w:r>
        <w:t>☐ Week 3 SQL script, schema, and corrected populated SQLite database included.</w:t>
      </w:r>
    </w:p>
    <w:p>
      <w:pPr>
        <w:pStyle w:val="ListBullet"/>
        <w:spacing w:after="40"/>
      </w:pPr>
      <w:r>
        <w:t>☐ Final Power BI PBIX saved and tested.</w:t>
      </w:r>
    </w:p>
    <w:p>
      <w:pPr>
        <w:pStyle w:val="ListBullet"/>
        <w:spacing w:after="40"/>
      </w:pPr>
      <w:r>
        <w:t>☐ Representative SQL outputs and dashboard screenshots captured.</w:t>
      </w:r>
    </w:p>
    <w:p>
      <w:pPr>
        <w:pStyle w:val="ListBullet"/>
        <w:spacing w:after="40"/>
      </w:pPr>
      <w:r>
        <w:t>☐ This final report reviewed for consistency and spelling.</w:t>
      </w:r>
    </w:p>
    <w:p>
      <w:pPr>
        <w:pStyle w:val="ListBullet"/>
        <w:spacing w:after="40"/>
      </w:pPr>
      <w:r>
        <w:t>☐ Presentation slides and portfolio README prepared.</w:t>
      </w:r>
    </w:p>
    <w:p>
      <w:pPr>
        <w:pStyle w:val="ListBullet"/>
        <w:spacing w:after="40"/>
      </w:pPr>
      <w:r>
        <w:t>☐ Project uploaded to GitHub or another portfolio platform with a clear folder structure.</w:t>
      </w:r>
    </w:p>
    <w:p>
      <w:pPr>
        <w:jc w:val="center"/>
      </w:pPr>
      <w:r>
        <w:rPr>
          <w:color w:val="646E78"/>
          <w:sz w:val="16"/>
        </w:rPr>
        <w:t>Prepared by Khorombi Vhuthuhawe | NexAfrica Data Analyst Internship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