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752492" cy="43813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752492" cy="4381379"/>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CB7A08" w:rsidP="00EB456C">
      <w:pPr>
        <w:pStyle w:val="a7"/>
        <w:numPr>
          <w:ilvl w:val="0"/>
          <w:numId w:val="10"/>
        </w:numPr>
        <w:tabs>
          <w:tab w:val="left" w:pos="851"/>
        </w:tabs>
        <w:ind w:left="0" w:firstLine="851"/>
      </w:pPr>
      <w:r>
        <w:t>Поиск позиций</w:t>
      </w:r>
      <w:r w:rsidR="00EB456C">
        <w:t xml:space="preserve"> в базе данных;</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CB7A08" w:rsidP="009871E0">
      <w:pPr>
        <w:pStyle w:val="a7"/>
        <w:numPr>
          <w:ilvl w:val="0"/>
          <w:numId w:val="11"/>
        </w:numPr>
        <w:tabs>
          <w:tab w:val="left" w:pos="851"/>
        </w:tabs>
        <w:ind w:left="0" w:firstLine="851"/>
      </w:pPr>
      <w:r>
        <w:t xml:space="preserve">1С: </w:t>
      </w:r>
      <w:r w:rsidR="009871E0">
        <w:t>Предприятие</w:t>
      </w:r>
    </w:p>
    <w:p w:rsidR="009871E0" w:rsidRPr="00D25671"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D25671" w:rsidRDefault="00D25671" w:rsidP="009871E0">
      <w:pPr>
        <w:tabs>
          <w:tab w:val="left" w:pos="851"/>
        </w:tabs>
        <w:ind w:firstLine="851"/>
        <w:rPr>
          <w:lang w:val="en-US"/>
        </w:rPr>
      </w:pPr>
    </w:p>
    <w:p w:rsidR="00D25671" w:rsidRDefault="00D25671" w:rsidP="00D25671">
      <w:pPr>
        <w:rPr>
          <w:color w:val="252525"/>
          <w:szCs w:val="28"/>
          <w:shd w:val="clear" w:color="auto" w:fill="FFFFFF"/>
        </w:rPr>
      </w:pPr>
      <w:r>
        <w:rPr>
          <w:b/>
          <w:szCs w:val="28"/>
        </w:rPr>
        <w:t xml:space="preserve">1С: Предприятие </w:t>
      </w:r>
      <w:r>
        <w:rPr>
          <w:color w:val="252525"/>
          <w:szCs w:val="28"/>
          <w:shd w:val="clear" w:color="auto" w:fill="FFFFFF"/>
        </w:rPr>
        <w:t>—</w:t>
      </w:r>
      <w:r>
        <w:rPr>
          <w:b/>
          <w:szCs w:val="28"/>
        </w:rPr>
        <w:t xml:space="preserve"> </w:t>
      </w:r>
      <w:r>
        <w:rPr>
          <w:szCs w:val="28"/>
          <w:shd w:val="clear" w:color="auto" w:fill="FFFFFF"/>
        </w:rPr>
        <w:t>программный продукт</w:t>
      </w:r>
      <w:r>
        <w:rPr>
          <w:rStyle w:val="apple-converted-space"/>
          <w:color w:val="252525"/>
          <w:szCs w:val="28"/>
          <w:shd w:val="clear" w:color="auto" w:fill="FFFFFF"/>
        </w:rPr>
        <w:t> </w:t>
      </w:r>
      <w:r>
        <w:rPr>
          <w:szCs w:val="28"/>
          <w:shd w:val="clear" w:color="auto" w:fill="FFFFFF"/>
        </w:rPr>
        <w:t xml:space="preserve">компании «1С», предназначенный для автоматизации деятельности на предприятии. </w:t>
      </w:r>
      <w:r>
        <w:rPr>
          <w:color w:val="252525"/>
          <w:szCs w:val="28"/>
          <w:shd w:val="clear" w:color="auto" w:fill="FFFFFF"/>
        </w:rPr>
        <w:t>Технологическая платформа «1С: Предприятие» представляет собой программную оболочку над</w:t>
      </w:r>
      <w:r>
        <w:rPr>
          <w:rStyle w:val="apple-converted-space"/>
          <w:color w:val="252525"/>
          <w:szCs w:val="28"/>
          <w:shd w:val="clear" w:color="auto" w:fill="FFFFFF"/>
        </w:rPr>
        <w:t> </w:t>
      </w:r>
      <w:r>
        <w:rPr>
          <w:szCs w:val="28"/>
          <w:shd w:val="clear" w:color="auto" w:fill="FFFFFF"/>
        </w:rPr>
        <w:t>базой данных</w:t>
      </w:r>
      <w:r>
        <w:rPr>
          <w:color w:val="252525"/>
          <w:szCs w:val="28"/>
          <w:shd w:val="clear" w:color="auto" w:fill="FFFFFF"/>
        </w:rPr>
        <w:t>.</w:t>
      </w:r>
    </w:p>
    <w:p w:rsidR="00D25671" w:rsidRDefault="00D25671" w:rsidP="00D25671">
      <w:pPr>
        <w:rPr>
          <w:color w:val="252525"/>
          <w:szCs w:val="28"/>
          <w:shd w:val="clear" w:color="auto" w:fill="FFFFFF"/>
        </w:rPr>
      </w:pPr>
      <w:r>
        <w:rPr>
          <w:b/>
          <w:color w:val="252525"/>
          <w:szCs w:val="28"/>
          <w:shd w:val="clear" w:color="auto" w:fill="FFFFFF"/>
        </w:rPr>
        <w:t>Конфигурация</w:t>
      </w:r>
      <w:r>
        <w:rPr>
          <w:color w:val="252525"/>
          <w:szCs w:val="28"/>
          <w:shd w:val="clear" w:color="auto" w:fill="FFFFFF"/>
        </w:rPr>
        <w:t>  — прикладное решение, разработанное на технологической платформе «1С: Предприятие».</w:t>
      </w:r>
    </w:p>
    <w:p w:rsidR="00D25671" w:rsidRDefault="00D25671" w:rsidP="00D25671">
      <w:pPr>
        <w:rPr>
          <w:color w:val="252525"/>
          <w:szCs w:val="28"/>
          <w:shd w:val="clear" w:color="auto" w:fill="FFFFFF"/>
        </w:rPr>
      </w:pPr>
      <w:r>
        <w:rPr>
          <w:b/>
          <w:bCs/>
          <w:color w:val="252525"/>
          <w:szCs w:val="28"/>
          <w:shd w:val="clear" w:color="auto" w:fill="FFFFFF"/>
        </w:rPr>
        <w:t>Встроенный язык программирования 1С: Предприятие</w:t>
      </w:r>
      <w:r>
        <w:rPr>
          <w:color w:val="252525"/>
          <w:szCs w:val="28"/>
          <w:shd w:val="clear" w:color="auto" w:fill="FFFFFF"/>
        </w:rPr>
        <w:t> —</w:t>
      </w:r>
      <w:r>
        <w:rPr>
          <w:rStyle w:val="apple-converted-space"/>
          <w:color w:val="252525"/>
          <w:szCs w:val="28"/>
          <w:shd w:val="clear" w:color="auto" w:fill="FFFFFF"/>
        </w:rPr>
        <w:t> </w:t>
      </w:r>
      <w:r>
        <w:rPr>
          <w:szCs w:val="28"/>
          <w:shd w:val="clear" w:color="auto" w:fill="FFFFFF"/>
        </w:rPr>
        <w:t>язык программирования</w:t>
      </w:r>
      <w:r>
        <w:rPr>
          <w:color w:val="252525"/>
          <w:szCs w:val="28"/>
          <w:shd w:val="clear" w:color="auto" w:fill="FFFFFF"/>
        </w:rPr>
        <w:t>, который используется в семействе программ «</w:t>
      </w:r>
      <w:r>
        <w:rPr>
          <w:szCs w:val="28"/>
          <w:shd w:val="clear" w:color="auto" w:fill="FFFFFF"/>
        </w:rPr>
        <w:t>1С: Предприятие</w:t>
      </w:r>
      <w:r>
        <w:rPr>
          <w:color w:val="252525"/>
          <w:szCs w:val="28"/>
          <w:shd w:val="clear" w:color="auto" w:fill="FFFFFF"/>
        </w:rPr>
        <w:t>». Данный язык является интерпретируемым языком высокого уровня. Интерпретация текста программного модуля в байт-код выполняется в момент обращения к этому модулю в процессе работы, таким образом, обычно интерпретируется только часть текстов программных модулей.</w:t>
      </w:r>
    </w:p>
    <w:p w:rsidR="00D25671" w:rsidRDefault="00D25671" w:rsidP="00D25671">
      <w:pPr>
        <w:rPr>
          <w:color w:val="252525"/>
          <w:szCs w:val="28"/>
          <w:shd w:val="clear" w:color="auto" w:fill="FFFFFF"/>
        </w:rPr>
      </w:pPr>
      <w:r>
        <w:rPr>
          <w:color w:val="252525"/>
          <w:szCs w:val="28"/>
          <w:shd w:val="clear" w:color="auto" w:fill="FFFFFF"/>
        </w:rPr>
        <w:t>Средой исполнения языка является программная платформа «1С: Предприятие». Визуальная среда разработки («Конфигуратор») является неотъемлемой частью пакета программ «1С: Предприятие».</w:t>
      </w:r>
    </w:p>
    <w:p w:rsidR="00D25671" w:rsidRDefault="00D25671" w:rsidP="00D25671">
      <w:pPr>
        <w:rPr>
          <w:rFonts w:eastAsia="Times New Roman"/>
          <w:color w:val="252525"/>
          <w:szCs w:val="28"/>
          <w:lang w:eastAsia="ru-RU"/>
        </w:rPr>
      </w:pPr>
      <w:r>
        <w:rPr>
          <w:rFonts w:eastAsia="Times New Roman"/>
          <w:color w:val="252525"/>
          <w:szCs w:val="28"/>
          <w:lang w:eastAsia="ru-RU"/>
        </w:rPr>
        <w:t>Встроенный язык 1С:8 наиболее подобен по своему синтаксису языку </w:t>
      </w:r>
      <w:r>
        <w:rPr>
          <w:rFonts w:eastAsia="Times New Roman"/>
          <w:color w:val="252525"/>
          <w:szCs w:val="28"/>
          <w:lang w:val="en-US" w:eastAsia="ru-RU"/>
        </w:rPr>
        <w:t>Visual</w:t>
      </w:r>
      <w:r w:rsidRPr="00D25671">
        <w:rPr>
          <w:rFonts w:eastAsia="Times New Roman"/>
          <w:color w:val="252525"/>
          <w:szCs w:val="28"/>
          <w:lang w:eastAsia="ru-RU"/>
        </w:rPr>
        <w:t xml:space="preserve"> </w:t>
      </w:r>
      <w:r>
        <w:rPr>
          <w:rFonts w:eastAsia="Times New Roman"/>
          <w:color w:val="252525"/>
          <w:szCs w:val="28"/>
          <w:lang w:val="en-US" w:eastAsia="ru-RU"/>
        </w:rPr>
        <w:t>Basic</w:t>
      </w:r>
      <w:r>
        <w:rPr>
          <w:rFonts w:eastAsia="Times New Roman"/>
          <w:color w:val="252525"/>
          <w:szCs w:val="28"/>
          <w:lang w:eastAsia="ru-RU"/>
        </w:rPr>
        <w:t>.</w:t>
      </w:r>
    </w:p>
    <w:p w:rsidR="00D25671" w:rsidRDefault="00D25671" w:rsidP="00D25671">
      <w:pPr>
        <w:rPr>
          <w:rFonts w:eastAsia="Times New Roman"/>
          <w:color w:val="252525"/>
          <w:szCs w:val="28"/>
          <w:lang w:eastAsia="ru-RU"/>
        </w:rPr>
      </w:pPr>
      <w:r>
        <w:rPr>
          <w:rFonts w:eastAsia="Times New Roman"/>
          <w:color w:val="252525"/>
          <w:szCs w:val="28"/>
          <w:lang w:eastAsia="ru-RU"/>
        </w:rPr>
        <w:t>Платформой предоставляется фиксированный набор базовых классов, ориентированных на решение типовых задач прикладной области:</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Константа,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lastRenderedPageBreak/>
        <w:t>Справочник,</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Документ,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Журнал документов,</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Перечисление,</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Отчёт,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Обработка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План счетов и др.</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На основании базовых классов средствами визуального конфигурирования можно создавать любое количество порождённых классов (возможность определить новый класс </w:t>
      </w:r>
      <w:proofErr w:type="spellStart"/>
      <w:r>
        <w:rPr>
          <w:rFonts w:eastAsia="Times New Roman"/>
          <w:color w:val="252525"/>
          <w:szCs w:val="28"/>
          <w:lang w:eastAsia="ru-RU"/>
        </w:rPr>
        <w:t>программно</w:t>
      </w:r>
      <w:proofErr w:type="spellEnd"/>
      <w:r>
        <w:rPr>
          <w:rFonts w:eastAsia="Times New Roman"/>
          <w:color w:val="252525"/>
          <w:szCs w:val="28"/>
          <w:lang w:eastAsia="ru-RU"/>
        </w:rPr>
        <w:t xml:space="preserve">  — отсутствует). Допускается только одна явная ступень наследования классов. Как правило, объекты порождённых классов представляют собой записи (или некоторые наборы записей) в базе данных. Такие классы образуют «Дерево метаданных». В терминах встроенного языка программирования 1С такие классы называются объектами метаданных.</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Основными видами объектов метаданных являются: </w:t>
      </w:r>
      <w:proofErr w:type="gramStart"/>
      <w:r>
        <w:rPr>
          <w:rFonts w:eastAsia="Times New Roman"/>
          <w:color w:val="252525"/>
          <w:szCs w:val="28"/>
          <w:lang w:eastAsia="ru-RU"/>
        </w:rPr>
        <w:t>Справочники, Документы, Отчёты, Обработки, Планы видов характеристик, Планы счетов, Планы видов расчёта, Регистры сведений, Регистры накопления, Регистры расчёта, Бизнес-процессы, Задачи и др.</w:t>
      </w:r>
      <w:proofErr w:type="gramEnd"/>
    </w:p>
    <w:p w:rsidR="00D25671" w:rsidRDefault="00D25671" w:rsidP="00D25671">
      <w:pPr>
        <w:rPr>
          <w:rFonts w:eastAsia="Times New Roman"/>
          <w:color w:val="252525"/>
          <w:szCs w:val="28"/>
          <w:lang w:eastAsia="ru-RU"/>
        </w:rPr>
      </w:pPr>
      <w:r>
        <w:rPr>
          <w:rFonts w:eastAsia="Times New Roman"/>
          <w:color w:val="252525"/>
          <w:szCs w:val="28"/>
          <w:lang w:eastAsia="ru-RU"/>
        </w:rPr>
        <w:t>Поддерживаются русский и английский синтаксис команд.</w:t>
      </w:r>
    </w:p>
    <w:p w:rsidR="00D25671" w:rsidRPr="00D25671" w:rsidRDefault="00D25671"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D25671" w:rsidRDefault="009871E0" w:rsidP="00D25671">
      <w:pPr>
        <w:tabs>
          <w:tab w:val="left" w:pos="851"/>
        </w:tabs>
        <w:ind w:firstLine="0"/>
        <w:rPr>
          <w:lang w:val="en-US"/>
        </w:rPr>
      </w:pPr>
      <w:bookmarkStart w:id="9" w:name="_GoBack"/>
      <w:bookmarkEnd w:id="9"/>
    </w:p>
    <w:p w:rsidR="009871E0" w:rsidRPr="00762A67" w:rsidRDefault="009871E0" w:rsidP="009871E0">
      <w:pPr>
        <w:pStyle w:val="1"/>
        <w:ind w:left="0" w:firstLine="851"/>
      </w:pPr>
      <w:bookmarkStart w:id="10" w:name="_Toc421657576"/>
      <w:r w:rsidRPr="00762A67">
        <w:lastRenderedPageBreak/>
        <w:t>Календарный план создания приложения</w:t>
      </w:r>
      <w:bookmarkEnd w:id="10"/>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1" w:name="_Toc421657577"/>
      <w:r w:rsidRPr="00762A67">
        <w:lastRenderedPageBreak/>
        <w:t>Проектирование</w:t>
      </w:r>
      <w:bookmarkEnd w:id="11"/>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845126" cy="474652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842901"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Программа со</w:t>
      </w:r>
      <w:r w:rsidR="00CB7A08">
        <w:t>держит следующие основные объекты</w:t>
      </w:r>
      <w:r>
        <w:t xml:space="preserve">: </w:t>
      </w:r>
      <w:r w:rsidR="00CB7A08">
        <w:t xml:space="preserve">справочник </w:t>
      </w:r>
      <w:r>
        <w:t xml:space="preserve">клиент, </w:t>
      </w:r>
      <w:r w:rsidR="00CB7A08">
        <w:t xml:space="preserve">документ </w:t>
      </w:r>
      <w:r>
        <w:t xml:space="preserve">заказ, </w:t>
      </w:r>
      <w:r w:rsidR="00CB7A08">
        <w:t>элемент справочника менеджер,</w:t>
      </w:r>
      <w:r>
        <w:t xml:space="preserve"> </w:t>
      </w:r>
      <w:r w:rsidR="00CB7A08">
        <w:t xml:space="preserve">элемент справочника </w:t>
      </w:r>
      <w:r w:rsidR="009665F2">
        <w:t>управляющий</w:t>
      </w:r>
      <w:r w:rsidR="00CB7A08">
        <w:t xml:space="preserve">, элемент справочника курьер, справочник сотрудники и справочник транспортное средство. </w:t>
      </w:r>
    </w:p>
    <w:p w:rsidR="000413B4" w:rsidRDefault="00CB7A08" w:rsidP="00822865">
      <w:pPr>
        <w:pStyle w:val="ad"/>
      </w:pPr>
      <w:r>
        <w:t>Справочник</w:t>
      </w:r>
      <w:r w:rsidR="000413B4">
        <w:t xml:space="preserve"> «Клиент» содержит поля: </w:t>
      </w:r>
    </w:p>
    <w:p w:rsidR="00F84001" w:rsidRPr="00CB7A08" w:rsidRDefault="000413B4" w:rsidP="000413B4">
      <w:pPr>
        <w:pStyle w:val="a7"/>
        <w:numPr>
          <w:ilvl w:val="0"/>
          <w:numId w:val="16"/>
        </w:numPr>
        <w:jc w:val="left"/>
      </w:pPr>
      <w:r>
        <w:t>Код</w:t>
      </w:r>
      <w:r w:rsidRPr="00CB7A08">
        <w:t>;</w:t>
      </w:r>
    </w:p>
    <w:p w:rsidR="000413B4" w:rsidRPr="00CB7A08" w:rsidRDefault="000413B4" w:rsidP="000413B4">
      <w:pPr>
        <w:pStyle w:val="a7"/>
        <w:numPr>
          <w:ilvl w:val="0"/>
          <w:numId w:val="16"/>
        </w:numPr>
        <w:jc w:val="left"/>
      </w:pPr>
      <w:r>
        <w:t>ФИО</w:t>
      </w:r>
      <w:r w:rsidRPr="00CB7A08">
        <w:t>;</w:t>
      </w:r>
    </w:p>
    <w:p w:rsidR="000413B4" w:rsidRPr="00CB7A08" w:rsidRDefault="000413B4" w:rsidP="000413B4">
      <w:pPr>
        <w:pStyle w:val="a7"/>
        <w:numPr>
          <w:ilvl w:val="0"/>
          <w:numId w:val="16"/>
        </w:numPr>
        <w:jc w:val="left"/>
      </w:pPr>
      <w:r>
        <w:t>Номер телефона</w:t>
      </w:r>
      <w:r w:rsidRPr="00CB7A08">
        <w:t>;</w:t>
      </w:r>
    </w:p>
    <w:p w:rsidR="000413B4" w:rsidRPr="00CB7A08" w:rsidRDefault="000413B4" w:rsidP="000413B4">
      <w:pPr>
        <w:pStyle w:val="a7"/>
        <w:numPr>
          <w:ilvl w:val="0"/>
          <w:numId w:val="16"/>
        </w:numPr>
        <w:jc w:val="left"/>
      </w:pPr>
      <w:r>
        <w:t>Адрес</w:t>
      </w:r>
      <w:r w:rsidRPr="00CB7A08">
        <w:t>.</w:t>
      </w:r>
    </w:p>
    <w:p w:rsidR="000413B4" w:rsidRDefault="00CB7A08" w:rsidP="00822865">
      <w:pPr>
        <w:pStyle w:val="ad"/>
      </w:pPr>
      <w:r>
        <w:lastRenderedPageBreak/>
        <w:t>Этот справочник</w:t>
      </w:r>
      <w:r w:rsidR="000413B4">
        <w:t xml:space="preserve"> ну</w:t>
      </w:r>
      <w:r>
        <w:t>жен для учета и контроля клиентов</w:t>
      </w:r>
      <w:r w:rsidR="000413B4">
        <w:t>, так как клиент не заходит в саму программу, а данные о клиенте просматриваются менеджером.</w:t>
      </w:r>
    </w:p>
    <w:p w:rsidR="000413B4" w:rsidRDefault="00CB7A08" w:rsidP="00822865">
      <w:pPr>
        <w:pStyle w:val="ad"/>
      </w:pPr>
      <w:r>
        <w:t>Документ</w:t>
      </w:r>
      <w:r w:rsidR="000413B4">
        <w:t xml:space="preserve">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37319A" w:rsidP="00822865">
      <w:pPr>
        <w:pStyle w:val="ad"/>
      </w:pPr>
      <w:r>
        <w:t>Объект</w:t>
      </w:r>
      <w:r w:rsidR="000413B4">
        <w:t xml:space="preserve"> помогает оформлять заказ клиента на доставку товара.</w:t>
      </w:r>
    </w:p>
    <w:p w:rsidR="000413B4" w:rsidRDefault="0037319A" w:rsidP="00822865">
      <w:pPr>
        <w:pStyle w:val="ad"/>
      </w:pPr>
      <w:r>
        <w:t>Элемент справочника</w:t>
      </w:r>
      <w:r w:rsidR="000413B4">
        <w:t xml:space="preserve">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7319A" w:rsidP="00822865">
      <w:pPr>
        <w:pStyle w:val="ad"/>
      </w:pPr>
      <w:r>
        <w:t>Элемент справочника</w:t>
      </w:r>
      <w:r w:rsidR="00317597">
        <w:t xml:space="preserve"> «</w:t>
      </w:r>
      <w:r w:rsidR="009665F2">
        <w:t>Управляющий</w:t>
      </w:r>
      <w:r w:rsidR="00317597">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7319A" w:rsidP="00822865">
      <w:pPr>
        <w:pStyle w:val="ad"/>
      </w:pPr>
      <w:r>
        <w:t>Элемент справочника</w:t>
      </w:r>
      <w:r w:rsidR="00317597">
        <w:t xml:space="preserve">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37319A" w:rsidP="00822865">
      <w:pPr>
        <w:pStyle w:val="ad"/>
      </w:pPr>
      <w:r>
        <w:t>Справочник</w:t>
      </w:r>
      <w:r w:rsidR="00F61E6E">
        <w:t xml:space="preserve">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37319A" w:rsidP="00792230">
      <w:pPr>
        <w:pStyle w:val="ad"/>
      </w:pPr>
      <w:r>
        <w:t>Справочник</w:t>
      </w:r>
      <w:r w:rsidR="00792230">
        <w:t xml:space="preserve">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Default="00596B91" w:rsidP="00596B91">
      <w:pPr>
        <w:pStyle w:val="a7"/>
        <w:numPr>
          <w:ilvl w:val="0"/>
          <w:numId w:val="24"/>
        </w:numPr>
        <w:jc w:val="left"/>
        <w:rPr>
          <w:b/>
        </w:rPr>
      </w:pPr>
      <w:r>
        <w:rPr>
          <w:b/>
        </w:rPr>
        <w:lastRenderedPageBreak/>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2" w:name="_Toc418682954"/>
      <w:bookmarkStart w:id="13" w:name="_Toc418684270"/>
      <w:r w:rsidRPr="00420724">
        <w:t xml:space="preserve">Диаграмма состояний </w:t>
      </w:r>
      <w:bookmarkEnd w:id="12"/>
      <w:bookmarkEnd w:id="13"/>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w:t>
      </w:r>
      <w:r w:rsidR="0037319A">
        <w:t xml:space="preserve">, какой сотрудник авторизовался </w:t>
      </w:r>
      <w:r>
        <w:t>(менеджер/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5859194" cy="2939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2614"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Default="00133845" w:rsidP="00133845">
      <w:pPr>
        <w:pStyle w:val="ad"/>
        <w:numPr>
          <w:ilvl w:val="1"/>
          <w:numId w:val="29"/>
        </w:numPr>
        <w:rPr>
          <w:b/>
        </w:rPr>
      </w:pPr>
      <w:r>
        <w:rPr>
          <w:b/>
        </w:rPr>
        <w:lastRenderedPageBreak/>
        <w:t>Ранжирование классов</w:t>
      </w:r>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Default="00273327" w:rsidP="00133845">
      <w:pPr>
        <w:pStyle w:val="1"/>
        <w:numPr>
          <w:ilvl w:val="0"/>
          <w:numId w:val="29"/>
        </w:numPr>
        <w:jc w:val="both"/>
        <w:rPr>
          <w:lang w:val="en-US"/>
        </w:rPr>
      </w:pPr>
      <w:r>
        <w:br w:type="page"/>
      </w:r>
      <w:r w:rsidR="00133845">
        <w:lastRenderedPageBreak/>
        <w:t>Тестирование</w:t>
      </w:r>
    </w:p>
    <w:p w:rsidR="001A6DD1" w:rsidRPr="00D25671" w:rsidRDefault="001A6DD1" w:rsidP="001A6DD1">
      <w:r>
        <w:t>Тестирование проводилось в ручном режиме. Результаты тестирования приводятся в таблице:</w:t>
      </w:r>
    </w:p>
    <w:tbl>
      <w:tblPr>
        <w:tblStyle w:val="ae"/>
        <w:tblW w:w="8844" w:type="dxa"/>
        <w:tblInd w:w="927" w:type="dxa"/>
        <w:tblLook w:val="04A0" w:firstRow="1" w:lastRow="0" w:firstColumn="1" w:lastColumn="0" w:noHBand="0" w:noVBand="1"/>
      </w:tblPr>
      <w:tblGrid>
        <w:gridCol w:w="2163"/>
        <w:gridCol w:w="2790"/>
        <w:gridCol w:w="2074"/>
        <w:gridCol w:w="1817"/>
      </w:tblGrid>
      <w:tr w:rsidR="00251CC9" w:rsidTr="00251CC9">
        <w:trPr>
          <w:trHeight w:val="1063"/>
        </w:trPr>
        <w:tc>
          <w:tcPr>
            <w:tcW w:w="2164"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Кто совершает действие</w:t>
            </w:r>
          </w:p>
        </w:tc>
        <w:tc>
          <w:tcPr>
            <w:tcW w:w="2786"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Над чем совершается действие</w:t>
            </w:r>
          </w:p>
        </w:tc>
        <w:tc>
          <w:tcPr>
            <w:tcW w:w="2075"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Какие функции используются</w:t>
            </w:r>
          </w:p>
        </w:tc>
        <w:tc>
          <w:tcPr>
            <w:tcW w:w="1819"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Результат</w:t>
            </w:r>
          </w:p>
        </w:tc>
      </w:tr>
      <w:tr w:rsidR="00CB29B2" w:rsidTr="00251CC9">
        <w:trPr>
          <w:trHeight w:val="351"/>
        </w:trPr>
        <w:tc>
          <w:tcPr>
            <w:tcW w:w="2164" w:type="dxa"/>
            <w:vMerge w:val="restart"/>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Управляющий</w:t>
            </w: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«Сотрудники»</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3"/>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spacing w:line="276" w:lineRule="auto"/>
              <w:ind w:firstLine="0"/>
              <w:jc w:val="center"/>
            </w:pPr>
            <w:r>
              <w:t>Справочник «Клиенты»</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418"/>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07"/>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«Транспортное средство»</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91"/>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right w:val="single" w:sz="4" w:space="0" w:color="auto"/>
            </w:tcBorders>
            <w:hideMark/>
          </w:tcPr>
          <w:p w:rsidR="00CB29B2" w:rsidRDefault="00CB29B2" w:rsidP="00852189">
            <w:pPr>
              <w:spacing w:line="276" w:lineRule="auto"/>
              <w:ind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9"/>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4"/>
              <w:jc w:val="center"/>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23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Удаление</w:t>
            </w:r>
          </w:p>
        </w:tc>
        <w:tc>
          <w:tcPr>
            <w:tcW w:w="1819" w:type="dxa"/>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2"/>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r>
              <w:t>Проведение</w:t>
            </w:r>
          </w:p>
        </w:tc>
        <w:tc>
          <w:tcPr>
            <w:tcW w:w="1819" w:type="dxa"/>
            <w:tcBorders>
              <w:left w:val="single" w:sz="4" w:space="0" w:color="auto"/>
              <w:right w:val="single" w:sz="4" w:space="0" w:color="auto"/>
            </w:tcBorders>
          </w:tcPr>
          <w:p w:rsidR="00CB29B2" w:rsidRDefault="00CB29B2" w:rsidP="00CB29B2">
            <w:pPr>
              <w:spacing w:line="276" w:lineRule="auto"/>
              <w:ind w:firstLine="0"/>
              <w:jc w:val="center"/>
            </w:pPr>
            <w:r>
              <w:t>Успешно</w:t>
            </w:r>
          </w:p>
        </w:tc>
      </w:tr>
      <w:tr w:rsidR="00CB29B2" w:rsidTr="00251CC9">
        <w:trPr>
          <w:trHeight w:val="184"/>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Pr="00251CC9" w:rsidRDefault="00251CC9" w:rsidP="00CB29B2">
            <w:pPr>
              <w:spacing w:line="240" w:lineRule="auto"/>
              <w:jc w:val="left"/>
            </w:pPr>
            <w:r>
              <w:t>Авторизация</w:t>
            </w: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right w:val="single" w:sz="4" w:space="0" w:color="auto"/>
            </w:tcBorders>
          </w:tcPr>
          <w:p w:rsidR="00CB29B2" w:rsidRPr="00251CC9" w:rsidRDefault="00251CC9" w:rsidP="00251CC9">
            <w:pPr>
              <w:spacing w:line="276" w:lineRule="auto"/>
              <w:ind w:firstLine="222"/>
              <w:jc w:val="left"/>
            </w:pPr>
            <w:r>
              <w:t xml:space="preserve"> Успешно</w:t>
            </w:r>
          </w:p>
        </w:tc>
      </w:tr>
      <w:tr w:rsidR="00CB29B2" w:rsidTr="00251CC9">
        <w:trPr>
          <w:trHeight w:val="251"/>
        </w:trPr>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Default="00251CC9" w:rsidP="00251CC9">
            <w:pPr>
              <w:spacing w:line="240" w:lineRule="auto"/>
              <w:ind w:firstLine="0"/>
              <w:jc w:val="center"/>
            </w:pPr>
            <w:r>
              <w:t>Отображение данных</w:t>
            </w:r>
          </w:p>
        </w:tc>
        <w:tc>
          <w:tcPr>
            <w:tcW w:w="2075" w:type="dxa"/>
            <w:tcBorders>
              <w:left w:val="single" w:sz="4" w:space="0" w:color="auto"/>
              <w:bottom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bottom w:val="single" w:sz="4" w:space="0" w:color="auto"/>
              <w:right w:val="single" w:sz="4" w:space="0" w:color="auto"/>
            </w:tcBorders>
          </w:tcPr>
          <w:p w:rsidR="00CB29B2" w:rsidRDefault="00251CC9" w:rsidP="00251CC9">
            <w:pPr>
              <w:spacing w:line="276" w:lineRule="auto"/>
              <w:ind w:firstLine="0"/>
              <w:jc w:val="center"/>
            </w:pPr>
            <w:r>
              <w:t>Успешно</w:t>
            </w:r>
          </w:p>
        </w:tc>
      </w:tr>
      <w:tr w:rsidR="00251CC9" w:rsidTr="00251CC9">
        <w:trPr>
          <w:trHeight w:val="385"/>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Менеджер</w:t>
            </w: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Документ</w:t>
            </w:r>
          </w:p>
          <w:p w:rsidR="00251CC9" w:rsidRPr="00852189" w:rsidRDefault="00251CC9" w:rsidP="00852189">
            <w:pPr>
              <w:pStyle w:val="a7"/>
              <w:spacing w:line="276" w:lineRule="auto"/>
              <w:ind w:left="0"/>
              <w:jc w:val="left"/>
            </w:pPr>
            <w:r>
              <w:t>«Заказ»</w:t>
            </w:r>
          </w:p>
        </w:tc>
        <w:tc>
          <w:tcPr>
            <w:tcW w:w="2075"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52"/>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852189">
            <w:pPr>
              <w:pStyle w:val="a7"/>
              <w:tabs>
                <w:tab w:val="left" w:pos="175"/>
              </w:tabs>
              <w:spacing w:line="276" w:lineRule="auto"/>
              <w:ind w:left="0" w:firstLine="34"/>
              <w:jc w:val="center"/>
            </w:pPr>
            <w:r>
              <w:t>Изменение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35"/>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 xml:space="preserve">Справочник </w:t>
            </w:r>
          </w:p>
          <w:p w:rsidR="00251CC9" w:rsidRDefault="00251CC9" w:rsidP="00852189">
            <w:pPr>
              <w:pStyle w:val="a7"/>
              <w:spacing w:line="276" w:lineRule="auto"/>
              <w:ind w:left="0" w:firstLine="469"/>
              <w:jc w:val="left"/>
            </w:pPr>
            <w:r>
              <w:t>«Клиенты»</w:t>
            </w:r>
          </w:p>
        </w:tc>
        <w:tc>
          <w:tcPr>
            <w:tcW w:w="2075"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51CC9">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51CC9">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68"/>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Курьер</w:t>
            </w:r>
          </w:p>
        </w:tc>
        <w:tc>
          <w:tcPr>
            <w:tcW w:w="2786" w:type="dxa"/>
            <w:vMerge w:val="restart"/>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217"/>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Проведение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right w:val="single" w:sz="4" w:space="0" w:color="auto"/>
            </w:tcBorders>
          </w:tcPr>
          <w:p w:rsidR="00251CC9" w:rsidRDefault="00251CC9" w:rsidP="002F3491">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F3491">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bl>
    <w:p w:rsidR="00852189" w:rsidRPr="00852189" w:rsidRDefault="00852189" w:rsidP="001A6DD1">
      <w:pPr>
        <w:rPr>
          <w:lang w:val="en-US"/>
        </w:rPr>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273327" w:rsidRDefault="00273327">
      <w:pPr>
        <w:spacing w:line="276" w:lineRule="auto"/>
        <w:ind w:firstLine="0"/>
        <w:jc w:val="left"/>
        <w:rPr>
          <w:sz w:val="20"/>
        </w:rPr>
      </w:pPr>
    </w:p>
    <w:p w:rsidR="00273327" w:rsidRDefault="00273327" w:rsidP="00273327">
      <w:pPr>
        <w:pStyle w:val="1"/>
        <w:numPr>
          <w:ilvl w:val="0"/>
          <w:numId w:val="29"/>
        </w:numPr>
        <w:ind w:left="2835" w:hanging="361"/>
        <w:jc w:val="left"/>
      </w:pPr>
      <w:r>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lastRenderedPageBreak/>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lastRenderedPageBreak/>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763"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 w:numId="36">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51CC9"/>
    <w:rsid w:val="002600E5"/>
    <w:rsid w:val="00273327"/>
    <w:rsid w:val="00317597"/>
    <w:rsid w:val="00336B6D"/>
    <w:rsid w:val="0037319A"/>
    <w:rsid w:val="003B2DCE"/>
    <w:rsid w:val="00596B91"/>
    <w:rsid w:val="005B0DBF"/>
    <w:rsid w:val="00615D0F"/>
    <w:rsid w:val="006841D8"/>
    <w:rsid w:val="00727DA1"/>
    <w:rsid w:val="00792230"/>
    <w:rsid w:val="007F6CE9"/>
    <w:rsid w:val="008128C3"/>
    <w:rsid w:val="00822865"/>
    <w:rsid w:val="008370EA"/>
    <w:rsid w:val="00852189"/>
    <w:rsid w:val="00867E69"/>
    <w:rsid w:val="009122F6"/>
    <w:rsid w:val="00917256"/>
    <w:rsid w:val="00921F2A"/>
    <w:rsid w:val="009665F2"/>
    <w:rsid w:val="009871E0"/>
    <w:rsid w:val="00A40A39"/>
    <w:rsid w:val="00A86B06"/>
    <w:rsid w:val="00AE3659"/>
    <w:rsid w:val="00B145F3"/>
    <w:rsid w:val="00B807B6"/>
    <w:rsid w:val="00BC7E1F"/>
    <w:rsid w:val="00BF4442"/>
    <w:rsid w:val="00C11FE2"/>
    <w:rsid w:val="00C275BF"/>
    <w:rsid w:val="00C95354"/>
    <w:rsid w:val="00CB29B2"/>
    <w:rsid w:val="00CB7A08"/>
    <w:rsid w:val="00CC6A32"/>
    <w:rsid w:val="00D25671"/>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0045">
      <w:bodyDiv w:val="1"/>
      <w:marLeft w:val="0"/>
      <w:marRight w:val="0"/>
      <w:marTop w:val="0"/>
      <w:marBottom w:val="0"/>
      <w:divBdr>
        <w:top w:val="none" w:sz="0" w:space="0" w:color="auto"/>
        <w:left w:val="none" w:sz="0" w:space="0" w:color="auto"/>
        <w:bottom w:val="none" w:sz="0" w:space="0" w:color="auto"/>
        <w:right w:val="none" w:sz="0" w:space="0" w:color="auto"/>
      </w:divBdr>
    </w:div>
    <w:div w:id="295649705">
      <w:bodyDiv w:val="1"/>
      <w:marLeft w:val="0"/>
      <w:marRight w:val="0"/>
      <w:marTop w:val="0"/>
      <w:marBottom w:val="0"/>
      <w:divBdr>
        <w:top w:val="none" w:sz="0" w:space="0" w:color="auto"/>
        <w:left w:val="none" w:sz="0" w:space="0" w:color="auto"/>
        <w:bottom w:val="none" w:sz="0" w:space="0" w:color="auto"/>
        <w:right w:val="none" w:sz="0" w:space="0" w:color="auto"/>
      </w:divBdr>
    </w:div>
    <w:div w:id="978195646">
      <w:bodyDiv w:val="1"/>
      <w:marLeft w:val="0"/>
      <w:marRight w:val="0"/>
      <w:marTop w:val="0"/>
      <w:marBottom w:val="0"/>
      <w:divBdr>
        <w:top w:val="none" w:sz="0" w:space="0" w:color="auto"/>
        <w:left w:val="none" w:sz="0" w:space="0" w:color="auto"/>
        <w:bottom w:val="none" w:sz="0" w:space="0" w:color="auto"/>
        <w:right w:val="none" w:sz="0" w:space="0" w:color="auto"/>
      </w:divBdr>
    </w:div>
    <w:div w:id="19635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28</Pages>
  <Words>2460</Words>
  <Characters>14024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Кирилл Антипов</cp:lastModifiedBy>
  <cp:revision>30</cp:revision>
  <dcterms:created xsi:type="dcterms:W3CDTF">2016-02-26T08:12:00Z</dcterms:created>
  <dcterms:modified xsi:type="dcterms:W3CDTF">2016-04-22T08:50:00Z</dcterms:modified>
</cp:coreProperties>
</file>