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color w:val="075776"/>
          <w:sz w:val="48"/>
          <w:szCs w:val="48"/>
          <w:b/>
        </w:rPr>
        <w:t xml:space="preserve">Иванов Иван Иванович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sz w:val="28"/>
          <w:szCs w:val="28"/>
          <w:b/>
        </w:rPr>
        <w:t xml:space="preserve">Дисциплины</w:t>
      </w:r>
    </w:p>
    <w:tbl>
      <w:tblGrid>
        <w:gridCol w:w="5000" w:type="dxa"/>
        <w:gridCol w:w="5000" w:type="dxa"/>
      </w:tblGrid>
      <w:tblPr>
        <w:tblStyle w:val="myTable"/>
      </w:tblPr>
      <w:tr>
        <w:trPr/>
        <w:tc>
          <w:tcPr>
            <w:tcW w:w="50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Аббревиатура</w:t>
            </w:r>
          </w:p>
        </w:tc>
        <w:tc>
          <w:tcPr>
            <w:tcW w:w="50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Расшифровка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Основы Программирования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ООП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Объектно-ориентированное Программирование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БД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Базы Данных</w:t>
            </w:r>
          </w:p>
        </w:tc>
      </w:tr>
    </w:tbl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sz w:val="28"/>
          <w:szCs w:val="28"/>
          <w:b/>
        </w:rPr>
        <w:t xml:space="preserve">Занятия</w:t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myTable"/>
      </w:tblP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Группа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Предмет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Кол-во занятий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Тип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SSE-16-2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ООП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КОНС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SSE-16-2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ООП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15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ЛК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SSE-16-2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ООП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9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ПЗ</w:t>
            </w:r>
          </w:p>
        </w:tc>
      </w:tr>
    </w:tbl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sz w:val="28"/>
          <w:szCs w:val="28"/>
          <w:b/>
        </w:rPr>
        <w:t xml:space="preserve">Оценки</w:t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myTable"/>
      </w:tblP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Группа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Предмет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Кол-во оценок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Тип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SSE-16-2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ООП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ЛК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2017-11-30T07:06:45+00:00</dcterms:created>
  <dcterms:modified xsi:type="dcterms:W3CDTF">2017-11-30T07:06:45+00:00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