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EOIP Operations and Troubleshooting</w:t>
      </w:r>
    </w:p>
    <w:p>
      <w:r>
        <w:t>KnowGridFlow / EOIP | 20 October 2026</w:t>
      </w:r>
    </w:p>
    <w:p>
      <w:r>
        <w:t>This manual explains the current repository's primary web application. Authenticated journeys depend on the deployed API, graph backend, worker, policy and the reader's role. The screenshots show observed local states; they do not certify the entire workflow.</w:t>
      </w:r>
    </w:p>
    <w:p>
      <w:pPr>
        <w:pStyle w:val="Heading1"/>
      </w:pPr>
      <w:r>
        <w:t>Troubleshooting and recovery</w:t>
      </w:r>
    </w:p>
    <w:p>
      <w:r>
        <w:t>Diagnose readiness, connection, empty results, stalled jobs and failed imports without leaking sensitive data.</w:t>
      </w:r>
    </w:p>
    <w:p>
      <w:r>
        <w:t>Availability: Read-only first; recovery actions need approval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Observed screenshot: local primary web UI, not a production acceptance result</w:t>
      </w:r>
    </w:p>
    <w:p>
      <w:pPr>
        <w:pStyle w:val="Heading2"/>
      </w:pPr>
      <w:r>
        <w:t>Service status unavailable</w:t>
      </w:r>
    </w:p>
    <w:p>
      <w:r>
        <w:t>This is the expected connection-screen state when the web frontend runs without an API proxy or the API is unhealthy. Check /health/ready on the API. In Vite host development, set EOIP_DEV_API_URL before starting Vite. In containers, inspect the compose status and service logs. Do not repeatedly submit a token until readiness is understood.</w:t>
      </w:r>
    </w:p>
    <w:p>
      <w:pPr/>
      <w:r>
        <w:t>1. Record the time and URL, not the token.</w:t>
      </w:r>
    </w:p>
    <w:p>
      <w:pPr/>
      <w:r>
        <w:t>2. Check the API readiness endpoint and container status.</w:t>
      </w:r>
    </w:p>
    <w:p>
      <w:pPr/>
      <w:r>
        <w:t>3. Confirm the correct web origin and API proxy, then reload.</w:t>
      </w:r>
    </w:p>
    <w:p>
      <w:pPr>
        <w:pStyle w:val="Heading2"/>
      </w:pPr>
      <w:r>
        <w:t>Cannot connect</w:t>
      </w:r>
    </w:p>
    <w:p>
      <w:r>
        <w:t>Connect requests administrative stats, system and jobs. A ready health endpoint can coexist with an invalid token or denied authorization. Read the toast and correlation ID. Confirm the deployment token and scope through the administrator; never paste the token into a ticket.</w:t>
      </w:r>
    </w:p>
    <w:p>
      <w:pPr/>
      <w:r>
        <w:t>1. Check readiness first.</w:t>
      </w:r>
    </w:p>
    <w:p>
      <w:pPr/>
      <w:r>
        <w:t>2. Record the error text and correlation ID.</w:t>
      </w:r>
    </w:p>
    <w:p>
      <w:pPr/>
      <w:r>
        <w:t>3. Ask the deployment owner to verify token scope or rotate a compromised token.</w:t>
      </w:r>
    </w:p>
    <w:p>
      <w:pPr>
        <w:pStyle w:val="Heading2"/>
      </w:pPr>
      <w:r>
        <w:t>No search results</w:t>
      </w:r>
    </w:p>
    <w:p>
      <w:r>
        <w:t>Check the spelling and canonical ID, selected filters, source ingestion status and tenant access. A bounded or partial graph view can omit other permitted context. Compare one known imported record; do not conclude that the source has no data from a single empty query.</w:t>
      </w:r>
    </w:p>
    <w:p>
      <w:pPr>
        <w:pStyle w:val="Heading2"/>
      </w:pPr>
      <w:r>
        <w:t>Import or job stalled</w:t>
      </w:r>
    </w:p>
    <w:p>
      <w:r>
        <w:t>Use Administration to inspect durable queue state and dead-letter records. Distinguish pending, running, failed, cancelled and completed. Check worker health, lease behavior and storage before any replay. Re-run only with an idempotency and duplicate-effects check.</w:t>
      </w:r>
    </w:p>
    <w:p>
      <w:pPr/>
      <w:r>
        <w:t>1. Capture the job ID and error summary, not sensitive payload.</w:t>
      </w:r>
    </w:p>
    <w:p>
      <w:pPr/>
      <w:r>
        <w:t>2. Inspect worker status and source checkpoint.</w:t>
      </w:r>
    </w:p>
    <w:p>
      <w:pPr/>
      <w:r>
        <w:t>3. Correct the root cause and obtain approval for replay.</w:t>
      </w:r>
    </w:p>
    <w:p>
      <w:pPr/>
      <w:r>
        <w:t>4. Reconcile source counts, persisted graph state and audit events afterward.</w:t>
      </w:r>
    </w:p>
    <w:p>
      <w:pPr>
        <w:pStyle w:val="Heading2"/>
      </w:pPr>
      <w:r>
        <w:t>Backups and restoration</w:t>
      </w:r>
    </w:p>
    <w:p>
      <w:r>
        <w:t>The integrated container helper exposes backup and restore-test actions. A completed backup label is not proof of recoverability. Use the operations runbook and a disposable environment to perform a restore drill before relying on a snapshot. Do not delete named volumes merely to reset a test without confirming the target.</w:t>
      </w:r>
    </w:p>
    <w:p>
      <w:pPr>
        <w:pStyle w:val="Heading2"/>
      </w:pPr>
      <w:r>
        <w:t>Support bundle</w:t>
      </w:r>
    </w:p>
    <w:p>
      <w:r>
        <w:t>Include application version or git revision, deployment profile, UTC time, affected route, steps to reproduce, correlation/job ID, expected versus observed behavior and redacted logs. Exclude access tokens, raw source payloads, private graph exports and model prompts unless an approved secure channel exists.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EOIP self help | Verify deployment behavior before relying on a feature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9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9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B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